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6"/>
        <w:gridCol w:w="7536"/>
      </w:tblGrid>
      <w:tr w:rsidR="008C6D56" w:rsidRPr="00315B58" w14:paraId="7CBA2507" w14:textId="77777777" w:rsidTr="008C6D56">
        <w:tc>
          <w:tcPr>
            <w:tcW w:w="1271" w:type="dxa"/>
          </w:tcPr>
          <w:p w14:paraId="7117D287" w14:textId="6F45EF79" w:rsidR="008C6D56" w:rsidRDefault="0046305D" w:rsidP="008C6D56">
            <w:pPr>
              <w:spacing w:line="276" w:lineRule="auto"/>
              <w:rPr>
                <w:rFonts w:ascii="Arial" w:hAnsi="Arial" w:cs="Arial"/>
                <w:b/>
                <w:sz w:val="22"/>
                <w:szCs w:val="22"/>
                <w:lang w:val="nl-BE"/>
              </w:rPr>
            </w:pPr>
            <w:r>
              <w:rPr>
                <w:noProof/>
              </w:rPr>
              <w:drawing>
                <wp:inline distT="0" distB="0" distL="0" distR="0" wp14:anchorId="6900DAB5" wp14:editId="60D3455E">
                  <wp:extent cx="838200" cy="107442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1074420"/>
                          </a:xfrm>
                          <a:prstGeom prst="rect">
                            <a:avLst/>
                          </a:prstGeom>
                          <a:noFill/>
                          <a:ln>
                            <a:noFill/>
                          </a:ln>
                        </pic:spPr>
                      </pic:pic>
                    </a:graphicData>
                  </a:graphic>
                </wp:inline>
              </w:drawing>
            </w:r>
          </w:p>
        </w:tc>
        <w:tc>
          <w:tcPr>
            <w:tcW w:w="7791" w:type="dxa"/>
          </w:tcPr>
          <w:p w14:paraId="39F47284" w14:textId="77777777" w:rsidR="008C6D56" w:rsidRDefault="008C6D56" w:rsidP="00E95A1E">
            <w:pPr>
              <w:jc w:val="both"/>
              <w:rPr>
                <w:rFonts w:ascii="Arial (W1)" w:hAnsi="Arial (W1)" w:cs="Arial"/>
                <w:smallCaps/>
                <w:sz w:val="18"/>
                <w:szCs w:val="18"/>
                <w:lang w:val="nl-BE" w:eastAsia="nl-NL"/>
              </w:rPr>
            </w:pPr>
            <w:r w:rsidRPr="008C6D56">
              <w:rPr>
                <w:rFonts w:ascii="Arial (W1)" w:hAnsi="Arial (W1)" w:cs="Arial" w:hint="cs"/>
                <w:smallCaps/>
                <w:sz w:val="18"/>
                <w:szCs w:val="18"/>
                <w:lang w:val="nl-BE" w:eastAsia="nl-NL"/>
              </w:rPr>
              <w:t xml:space="preserve">DE </w:t>
            </w:r>
            <w:r w:rsidRPr="008C6D56">
              <w:rPr>
                <w:rFonts w:ascii="Arial (W1)" w:hAnsi="Arial (W1)" w:cs="Arial"/>
                <w:smallCaps/>
                <w:sz w:val="18"/>
                <w:szCs w:val="18"/>
                <w:lang w:val="nl-BE" w:eastAsia="nl-NL"/>
              </w:rPr>
              <w:t>MINISTER VAN BINNENLANDSE ZAKEN, INSTITUTIONELE HERVORMINGEN EN DEMOCRATISCHE VERNIEUWING</w:t>
            </w:r>
          </w:p>
          <w:p w14:paraId="71D9F3F6" w14:textId="77777777" w:rsidR="008C6D56" w:rsidRPr="008C6D56" w:rsidRDefault="008C6D56" w:rsidP="00E95A1E">
            <w:pPr>
              <w:jc w:val="both"/>
              <w:rPr>
                <w:rFonts w:ascii="Arial (W1)" w:hAnsi="Arial (W1)" w:cs="Arial"/>
                <w:smallCaps/>
                <w:sz w:val="18"/>
                <w:szCs w:val="18"/>
                <w:lang w:val="nl-BE" w:eastAsia="nl-NL"/>
              </w:rPr>
            </w:pPr>
          </w:p>
          <w:p w14:paraId="5171258B" w14:textId="77777777" w:rsidR="008C6D56" w:rsidRPr="008C6D56" w:rsidRDefault="008C6D56" w:rsidP="00E95A1E">
            <w:pPr>
              <w:jc w:val="both"/>
              <w:rPr>
                <w:rFonts w:ascii="Arial (W1)" w:hAnsi="Arial (W1)" w:cs="Arial"/>
                <w:smallCaps/>
                <w:sz w:val="18"/>
                <w:szCs w:val="18"/>
                <w:lang w:val="fr-FR" w:eastAsia="nl-NL"/>
              </w:rPr>
            </w:pPr>
            <w:r w:rsidRPr="008C6D56">
              <w:rPr>
                <w:rFonts w:ascii="Arial (W1)" w:hAnsi="Arial (W1)" w:cs="Arial"/>
                <w:smallCaps/>
                <w:sz w:val="18"/>
                <w:szCs w:val="18"/>
                <w:lang w:val="fr-BE" w:eastAsia="nl-NL"/>
              </w:rPr>
              <w:t xml:space="preserve">LA MINISTRE DE L’INTERIEUR, DES REFORMES INSTITUTIONNELLES ET DU RENOUVEAU DEMOCRATIQUE </w:t>
            </w:r>
          </w:p>
        </w:tc>
      </w:tr>
    </w:tbl>
    <w:p w14:paraId="0C2B6E17" w14:textId="77777777" w:rsidR="004428EC" w:rsidRPr="008C6D56" w:rsidRDefault="004428EC" w:rsidP="008C6D56">
      <w:pPr>
        <w:spacing w:line="276" w:lineRule="auto"/>
        <w:rPr>
          <w:rFonts w:ascii="Arial" w:hAnsi="Arial" w:cs="Arial"/>
          <w:b/>
          <w:sz w:val="22"/>
          <w:szCs w:val="22"/>
          <w:lang w:val="fr-BE"/>
        </w:rPr>
      </w:pPr>
    </w:p>
    <w:p w14:paraId="792B153C" w14:textId="04B2F472" w:rsidR="008A7E45" w:rsidRPr="00892FFC" w:rsidRDefault="00C6225C" w:rsidP="00A413CF">
      <w:pPr>
        <w:spacing w:line="276" w:lineRule="auto"/>
        <w:ind w:left="5103"/>
        <w:rPr>
          <w:rFonts w:ascii="Arial" w:hAnsi="Arial" w:cs="Arial"/>
          <w:b/>
          <w:sz w:val="22"/>
          <w:szCs w:val="22"/>
          <w:lang w:val="fr-FR"/>
        </w:rPr>
      </w:pPr>
      <w:r>
        <w:rPr>
          <w:rFonts w:ascii="Arial" w:hAnsi="Arial" w:cs="Arial"/>
          <w:b/>
          <w:sz w:val="22"/>
          <w:szCs w:val="22"/>
          <w:lang w:val="fr-FR"/>
        </w:rPr>
        <w:t xml:space="preserve">Département : </w:t>
      </w:r>
      <w:r>
        <w:rPr>
          <w:rFonts w:ascii="Arial" w:hAnsi="Arial" w:cs="Arial"/>
          <w:b/>
          <w:sz w:val="22"/>
          <w:szCs w:val="22"/>
          <w:lang w:val="fr-FR"/>
        </w:rPr>
        <w:tab/>
        <w:t>1</w:t>
      </w:r>
      <w:r w:rsidR="00B451A9">
        <w:rPr>
          <w:rFonts w:ascii="Arial" w:hAnsi="Arial" w:cs="Arial"/>
          <w:b/>
          <w:sz w:val="22"/>
          <w:szCs w:val="22"/>
          <w:lang w:val="fr-FR"/>
        </w:rPr>
        <w:t>2</w:t>
      </w:r>
    </w:p>
    <w:p w14:paraId="50F041E2" w14:textId="77777777" w:rsidR="008A7E45" w:rsidRPr="00892FFC" w:rsidRDefault="008A7E45" w:rsidP="00A413CF">
      <w:pPr>
        <w:spacing w:line="276" w:lineRule="auto"/>
        <w:ind w:left="5103"/>
        <w:rPr>
          <w:rFonts w:ascii="Arial" w:hAnsi="Arial" w:cs="Arial"/>
          <w:b/>
          <w:sz w:val="22"/>
          <w:szCs w:val="22"/>
          <w:lang w:val="fr-FR"/>
        </w:rPr>
      </w:pPr>
    </w:p>
    <w:p w14:paraId="571B85E7" w14:textId="77777777" w:rsidR="008A7E45" w:rsidRPr="005C3402" w:rsidRDefault="008A7E45" w:rsidP="00A413CF">
      <w:pPr>
        <w:spacing w:line="276" w:lineRule="auto"/>
        <w:ind w:left="5103"/>
        <w:rPr>
          <w:rFonts w:ascii="Arial" w:hAnsi="Arial" w:cs="Arial"/>
          <w:sz w:val="22"/>
          <w:szCs w:val="22"/>
          <w:lang w:val="nl-BE"/>
        </w:rPr>
      </w:pPr>
    </w:p>
    <w:tbl>
      <w:tblPr>
        <w:tblW w:w="9570" w:type="dxa"/>
        <w:tblLayout w:type="fixed"/>
        <w:tblLook w:val="0000" w:firstRow="0" w:lastRow="0" w:firstColumn="0" w:lastColumn="0" w:noHBand="0" w:noVBand="0"/>
      </w:tblPr>
      <w:tblGrid>
        <w:gridCol w:w="4653"/>
        <w:gridCol w:w="4917"/>
      </w:tblGrid>
      <w:tr w:rsidR="008A7E45" w:rsidRPr="00315B58" w14:paraId="0FEA7FA2" w14:textId="77777777" w:rsidTr="0ED1C4BA">
        <w:tc>
          <w:tcPr>
            <w:tcW w:w="4653" w:type="dxa"/>
          </w:tcPr>
          <w:p w14:paraId="29EFA836" w14:textId="3D80A246" w:rsidR="00927D9C" w:rsidRPr="00927D9C" w:rsidRDefault="00927D9C" w:rsidP="00C11895">
            <w:pPr>
              <w:spacing w:line="276" w:lineRule="auto"/>
              <w:jc w:val="both"/>
              <w:rPr>
                <w:rFonts w:ascii="Arial" w:hAnsi="Arial" w:cs="Arial"/>
                <w:b/>
                <w:sz w:val="22"/>
                <w:szCs w:val="22"/>
                <w:lang w:val="nl-BE"/>
              </w:rPr>
            </w:pPr>
            <w:r w:rsidRPr="00927D9C">
              <w:rPr>
                <w:rFonts w:ascii="Arial" w:hAnsi="Arial" w:cs="Arial"/>
                <w:b/>
                <w:sz w:val="22"/>
                <w:szCs w:val="22"/>
                <w:lang w:val="nl-BE"/>
              </w:rPr>
              <w:t xml:space="preserve">Antwoord op de schriftelijke parlementaire vraag nr. </w:t>
            </w:r>
            <w:r w:rsidR="00F41A30">
              <w:rPr>
                <w:rFonts w:ascii="Arial" w:hAnsi="Arial" w:cs="Arial"/>
                <w:b/>
                <w:sz w:val="22"/>
                <w:szCs w:val="22"/>
                <w:lang w:val="nl-BE"/>
              </w:rPr>
              <w:t>106</w:t>
            </w:r>
            <w:r w:rsidRPr="00927D9C">
              <w:rPr>
                <w:rFonts w:ascii="Arial" w:hAnsi="Arial" w:cs="Arial"/>
                <w:b/>
                <w:sz w:val="22"/>
                <w:szCs w:val="22"/>
                <w:lang w:val="nl-BE"/>
              </w:rPr>
              <w:t xml:space="preserve"> van de heer</w:t>
            </w:r>
            <w:r w:rsidR="00FD7298">
              <w:rPr>
                <w:rFonts w:ascii="Arial" w:hAnsi="Arial" w:cs="Arial"/>
                <w:b/>
                <w:sz w:val="22"/>
                <w:szCs w:val="22"/>
                <w:lang w:val="nl-BE"/>
              </w:rPr>
              <w:t xml:space="preserve"> </w:t>
            </w:r>
            <w:r w:rsidR="00401F72">
              <w:rPr>
                <w:rFonts w:ascii="Arial" w:hAnsi="Arial" w:cs="Arial"/>
                <w:b/>
                <w:sz w:val="22"/>
                <w:szCs w:val="22"/>
                <w:lang w:val="nl-BE"/>
              </w:rPr>
              <w:t>DEPOORTERE</w:t>
            </w:r>
            <w:r w:rsidRPr="00927D9C">
              <w:rPr>
                <w:rFonts w:ascii="Arial" w:hAnsi="Arial" w:cs="Arial"/>
                <w:b/>
                <w:sz w:val="22"/>
                <w:szCs w:val="22"/>
                <w:lang w:val="nl-BE"/>
              </w:rPr>
              <w:t xml:space="preserve">, Volksvertegenwoordiger van </w:t>
            </w:r>
            <w:r w:rsidR="008452CB">
              <w:rPr>
                <w:rFonts w:ascii="Arial" w:hAnsi="Arial" w:cs="Arial"/>
                <w:b/>
                <w:sz w:val="22"/>
                <w:szCs w:val="22"/>
                <w:lang w:val="nl-BE"/>
              </w:rPr>
              <w:t>1</w:t>
            </w:r>
            <w:r w:rsidR="00F41A30">
              <w:rPr>
                <w:rFonts w:ascii="Arial" w:hAnsi="Arial" w:cs="Arial"/>
                <w:b/>
                <w:sz w:val="22"/>
                <w:szCs w:val="22"/>
                <w:lang w:val="nl-BE"/>
              </w:rPr>
              <w:t>7</w:t>
            </w:r>
            <w:r w:rsidR="008452CB">
              <w:rPr>
                <w:rFonts w:ascii="Arial" w:hAnsi="Arial" w:cs="Arial"/>
                <w:b/>
                <w:sz w:val="22"/>
                <w:szCs w:val="22"/>
                <w:lang w:val="nl-BE"/>
              </w:rPr>
              <w:t>/12</w:t>
            </w:r>
            <w:r w:rsidRPr="00927D9C">
              <w:rPr>
                <w:rFonts w:ascii="Arial" w:hAnsi="Arial" w:cs="Arial"/>
                <w:b/>
                <w:sz w:val="22"/>
                <w:szCs w:val="22"/>
                <w:lang w:val="nl-BE"/>
              </w:rPr>
              <w:t>/2024, betreffende “</w:t>
            </w:r>
            <w:r w:rsidR="00DC0B20" w:rsidRPr="00DC0B20">
              <w:rPr>
                <w:rFonts w:ascii="Arial" w:hAnsi="Arial" w:cs="Arial"/>
                <w:b/>
                <w:sz w:val="22"/>
                <w:szCs w:val="22"/>
                <w:lang w:val="nl-BE"/>
              </w:rPr>
              <w:t>Escalerend drugsgeweld</w:t>
            </w:r>
            <w:r w:rsidRPr="00927D9C">
              <w:rPr>
                <w:rFonts w:ascii="Arial" w:hAnsi="Arial" w:cs="Arial"/>
                <w:b/>
                <w:sz w:val="22"/>
                <w:szCs w:val="22"/>
                <w:lang w:val="nl-BE"/>
              </w:rPr>
              <w:t>”.</w:t>
            </w:r>
          </w:p>
          <w:p w14:paraId="55ECC5D5" w14:textId="796EF271" w:rsidR="003439F3" w:rsidRPr="0046305D" w:rsidRDefault="003439F3" w:rsidP="00C11895">
            <w:pPr>
              <w:spacing w:line="276" w:lineRule="auto"/>
              <w:jc w:val="both"/>
              <w:rPr>
                <w:rFonts w:ascii="Arial" w:hAnsi="Arial" w:cs="Arial"/>
                <w:b/>
                <w:sz w:val="22"/>
                <w:szCs w:val="22"/>
                <w:lang w:val="nl-BE"/>
              </w:rPr>
            </w:pPr>
          </w:p>
        </w:tc>
        <w:tc>
          <w:tcPr>
            <w:tcW w:w="4917" w:type="dxa"/>
          </w:tcPr>
          <w:p w14:paraId="62F94575" w14:textId="2DA23654" w:rsidR="008A7E45" w:rsidRPr="00927D9C" w:rsidRDefault="00927D9C" w:rsidP="0ED1C4BA">
            <w:pPr>
              <w:spacing w:line="276" w:lineRule="auto"/>
              <w:jc w:val="both"/>
              <w:rPr>
                <w:rFonts w:ascii="Arial" w:hAnsi="Arial" w:cs="Arial"/>
                <w:b/>
                <w:bCs/>
                <w:sz w:val="22"/>
                <w:szCs w:val="22"/>
                <w:lang w:val="fr-BE"/>
              </w:rPr>
            </w:pPr>
            <w:r w:rsidRPr="0ED1C4BA">
              <w:rPr>
                <w:rFonts w:ascii="Arial" w:hAnsi="Arial" w:cs="Arial"/>
                <w:b/>
                <w:bCs/>
                <w:sz w:val="22"/>
                <w:szCs w:val="22"/>
                <w:lang w:val="fr-BE"/>
              </w:rPr>
              <w:t>Réponse à la question parlementaire écrite</w:t>
            </w:r>
            <w:r w:rsidRPr="00B438FE">
              <w:rPr>
                <w:lang w:val="fr-BE"/>
              </w:rPr>
              <w:br/>
            </w:r>
            <w:r w:rsidRPr="0ED1C4BA">
              <w:rPr>
                <w:rFonts w:ascii="Arial" w:hAnsi="Arial" w:cs="Arial"/>
                <w:b/>
                <w:bCs/>
                <w:sz w:val="22"/>
                <w:szCs w:val="22"/>
                <w:lang w:val="fr-BE"/>
              </w:rPr>
              <w:t xml:space="preserve">n° </w:t>
            </w:r>
            <w:r w:rsidR="00F41A30" w:rsidRPr="0ED1C4BA">
              <w:rPr>
                <w:rFonts w:ascii="Arial" w:hAnsi="Arial" w:cs="Arial"/>
                <w:b/>
                <w:bCs/>
                <w:sz w:val="22"/>
                <w:szCs w:val="22"/>
                <w:lang w:val="fr-BE"/>
              </w:rPr>
              <w:t>106</w:t>
            </w:r>
            <w:r w:rsidR="00154DB8" w:rsidRPr="0ED1C4BA">
              <w:rPr>
                <w:rFonts w:ascii="Arial" w:hAnsi="Arial" w:cs="Arial"/>
                <w:b/>
                <w:bCs/>
                <w:sz w:val="22"/>
                <w:szCs w:val="22"/>
                <w:lang w:val="fr-BE"/>
              </w:rPr>
              <w:t>,</w:t>
            </w:r>
            <w:r w:rsidRPr="0ED1C4BA">
              <w:rPr>
                <w:rFonts w:ascii="Arial" w:hAnsi="Arial" w:cs="Arial"/>
                <w:b/>
                <w:bCs/>
                <w:sz w:val="22"/>
                <w:szCs w:val="22"/>
                <w:lang w:val="fr-BE"/>
              </w:rPr>
              <w:t xml:space="preserve"> </w:t>
            </w:r>
            <w:r w:rsidR="00154DB8" w:rsidRPr="0ED1C4BA">
              <w:rPr>
                <w:rFonts w:ascii="Arial" w:hAnsi="Arial" w:cs="Arial"/>
                <w:b/>
                <w:bCs/>
                <w:sz w:val="22"/>
                <w:szCs w:val="22"/>
                <w:lang w:val="fr-BE"/>
              </w:rPr>
              <w:t xml:space="preserve">du 17/12/2024, </w:t>
            </w:r>
            <w:r w:rsidRPr="0ED1C4BA">
              <w:rPr>
                <w:rFonts w:ascii="Arial" w:hAnsi="Arial" w:cs="Arial"/>
                <w:b/>
                <w:bCs/>
                <w:sz w:val="22"/>
                <w:szCs w:val="22"/>
                <w:lang w:val="fr-BE"/>
              </w:rPr>
              <w:t>de monsieur</w:t>
            </w:r>
            <w:r w:rsidR="00FD7298" w:rsidRPr="0ED1C4BA">
              <w:rPr>
                <w:rFonts w:ascii="Arial" w:hAnsi="Arial" w:cs="Arial"/>
                <w:b/>
                <w:bCs/>
                <w:sz w:val="22"/>
                <w:szCs w:val="22"/>
                <w:lang w:val="fr-BE"/>
              </w:rPr>
              <w:t xml:space="preserve"> </w:t>
            </w:r>
            <w:r w:rsidR="00401F72" w:rsidRPr="0ED1C4BA">
              <w:rPr>
                <w:rFonts w:ascii="Arial" w:hAnsi="Arial" w:cs="Arial"/>
                <w:b/>
                <w:bCs/>
                <w:sz w:val="22"/>
                <w:szCs w:val="22"/>
                <w:lang w:val="fr-BE"/>
              </w:rPr>
              <w:t>DEPOORTERE</w:t>
            </w:r>
            <w:r w:rsidRPr="0ED1C4BA">
              <w:rPr>
                <w:rFonts w:ascii="Arial" w:hAnsi="Arial" w:cs="Arial"/>
                <w:b/>
                <w:bCs/>
                <w:sz w:val="22"/>
                <w:szCs w:val="22"/>
                <w:lang w:val="fr-BE"/>
              </w:rPr>
              <w:t>, Député, concernant</w:t>
            </w:r>
            <w:r w:rsidRPr="00B438FE">
              <w:rPr>
                <w:lang w:val="fr-BE"/>
              </w:rPr>
              <w:br/>
            </w:r>
            <w:r w:rsidR="00154DB8" w:rsidRPr="0ED1C4BA">
              <w:rPr>
                <w:rFonts w:ascii="Arial" w:hAnsi="Arial" w:cs="Arial"/>
                <w:b/>
                <w:bCs/>
                <w:sz w:val="22"/>
                <w:szCs w:val="22"/>
                <w:lang w:val="fr-BE"/>
              </w:rPr>
              <w:t>l’</w:t>
            </w:r>
            <w:r w:rsidR="00154DB8" w:rsidRPr="0ED1C4BA">
              <w:rPr>
                <w:rFonts w:ascii="Arial" w:hAnsi="Arial" w:cs="Arial"/>
                <w:b/>
                <w:bCs/>
                <w:sz w:val="22"/>
                <w:szCs w:val="22"/>
                <w:lang w:val="fr-FR"/>
              </w:rPr>
              <w:t>«</w:t>
            </w:r>
            <w:r w:rsidR="67B668B8" w:rsidRPr="0ED1C4BA">
              <w:rPr>
                <w:rFonts w:ascii="Arial" w:hAnsi="Arial" w:cs="Arial"/>
                <w:b/>
                <w:bCs/>
                <w:sz w:val="22"/>
                <w:szCs w:val="22"/>
                <w:lang w:val="fr-FR"/>
              </w:rPr>
              <w:t xml:space="preserve"> </w:t>
            </w:r>
            <w:r w:rsidR="00154DB8" w:rsidRPr="0ED1C4BA">
              <w:rPr>
                <w:rFonts w:ascii="Arial" w:hAnsi="Arial" w:cs="Arial"/>
                <w:b/>
                <w:bCs/>
                <w:sz w:val="22"/>
                <w:szCs w:val="22"/>
                <w:lang w:val="fr-FR"/>
              </w:rPr>
              <w:t>Escalade de la violence liée à la drogue</w:t>
            </w:r>
            <w:r w:rsidR="00747143">
              <w:rPr>
                <w:rFonts w:ascii="Arial" w:hAnsi="Arial" w:cs="Arial"/>
                <w:b/>
                <w:bCs/>
                <w:sz w:val="22"/>
                <w:szCs w:val="22"/>
                <w:lang w:val="fr-FR"/>
              </w:rPr>
              <w:t> </w:t>
            </w:r>
            <w:r w:rsidR="00154DB8" w:rsidRPr="0ED1C4BA">
              <w:rPr>
                <w:rFonts w:ascii="Arial" w:hAnsi="Arial" w:cs="Arial"/>
                <w:b/>
                <w:bCs/>
                <w:sz w:val="22"/>
                <w:szCs w:val="22"/>
                <w:lang w:val="fr-FR"/>
              </w:rPr>
              <w:t>»</w:t>
            </w:r>
            <w:r w:rsidRPr="0ED1C4BA">
              <w:rPr>
                <w:rFonts w:ascii="Arial" w:hAnsi="Arial" w:cs="Arial"/>
                <w:b/>
                <w:bCs/>
                <w:sz w:val="22"/>
                <w:szCs w:val="22"/>
                <w:lang w:val="fr-BE"/>
              </w:rPr>
              <w:t>.</w:t>
            </w:r>
          </w:p>
        </w:tc>
      </w:tr>
      <w:tr w:rsidR="008A7E45" w:rsidRPr="00315B58" w14:paraId="5BCE9303" w14:textId="77777777" w:rsidTr="0ED1C4BA">
        <w:tc>
          <w:tcPr>
            <w:tcW w:w="4653" w:type="dxa"/>
          </w:tcPr>
          <w:p w14:paraId="322F336F" w14:textId="3D6F3C3A" w:rsidR="00740821" w:rsidRDefault="00927D9C" w:rsidP="00A413CF">
            <w:pPr>
              <w:spacing w:line="276" w:lineRule="auto"/>
              <w:jc w:val="both"/>
              <w:rPr>
                <w:rFonts w:ascii="Arial" w:hAnsi="Arial" w:cs="Arial"/>
                <w:sz w:val="22"/>
                <w:szCs w:val="22"/>
                <w:lang w:val="nl-BE"/>
              </w:rPr>
            </w:pPr>
            <w:r w:rsidRPr="0046305D">
              <w:rPr>
                <w:rFonts w:ascii="Arial" w:hAnsi="Arial" w:cs="Arial"/>
                <w:sz w:val="22"/>
                <w:szCs w:val="22"/>
                <w:lang w:val="nl-BE"/>
              </w:rPr>
              <w:t xml:space="preserve">Het </w:t>
            </w:r>
            <w:r w:rsidR="00154DB8">
              <w:rPr>
                <w:rFonts w:ascii="Arial" w:hAnsi="Arial" w:cs="Arial"/>
                <w:sz w:val="22"/>
                <w:szCs w:val="22"/>
                <w:lang w:val="nl-BE"/>
              </w:rPr>
              <w:t>g</w:t>
            </w:r>
            <w:r w:rsidRPr="0046305D">
              <w:rPr>
                <w:rFonts w:ascii="Arial" w:hAnsi="Arial" w:cs="Arial"/>
                <w:sz w:val="22"/>
                <w:szCs w:val="22"/>
                <w:lang w:val="nl-BE"/>
              </w:rPr>
              <w:t xml:space="preserve">eachte </w:t>
            </w:r>
            <w:r w:rsidR="00154DB8">
              <w:rPr>
                <w:rFonts w:ascii="Arial" w:hAnsi="Arial" w:cs="Arial"/>
                <w:sz w:val="22"/>
                <w:szCs w:val="22"/>
                <w:lang w:val="nl-BE"/>
              </w:rPr>
              <w:t>l</w:t>
            </w:r>
            <w:r w:rsidRPr="0046305D">
              <w:rPr>
                <w:rFonts w:ascii="Arial" w:hAnsi="Arial" w:cs="Arial"/>
                <w:sz w:val="22"/>
                <w:szCs w:val="22"/>
                <w:lang w:val="nl-BE"/>
              </w:rPr>
              <w:t>id vindt hieronder het antwoord op de gestelde vragen.</w:t>
            </w:r>
          </w:p>
          <w:p w14:paraId="73EB0C32" w14:textId="77777777" w:rsidR="002B7E74" w:rsidRDefault="002B7E74" w:rsidP="00A413CF">
            <w:pPr>
              <w:spacing w:line="276" w:lineRule="auto"/>
              <w:jc w:val="both"/>
              <w:rPr>
                <w:rFonts w:ascii="Arial" w:hAnsi="Arial" w:cs="Arial"/>
                <w:sz w:val="22"/>
                <w:szCs w:val="22"/>
                <w:lang w:val="nl-BE"/>
              </w:rPr>
            </w:pPr>
          </w:p>
          <w:p w14:paraId="580F7665" w14:textId="4D40034D" w:rsidR="002B7E74" w:rsidRPr="005C38B1" w:rsidRDefault="002B7E74" w:rsidP="002B7E74">
            <w:pPr>
              <w:spacing w:line="276" w:lineRule="auto"/>
              <w:jc w:val="both"/>
              <w:rPr>
                <w:rFonts w:ascii="Arial" w:hAnsi="Arial" w:cs="Arial"/>
                <w:spacing w:val="-6"/>
                <w:sz w:val="22"/>
                <w:szCs w:val="22"/>
                <w:lang w:val="nl-BE"/>
              </w:rPr>
            </w:pPr>
            <w:r w:rsidRPr="005C38B1">
              <w:rPr>
                <w:rFonts w:ascii="Arial" w:hAnsi="Arial" w:cs="Arial"/>
                <w:spacing w:val="-6"/>
                <w:sz w:val="22"/>
                <w:szCs w:val="22"/>
                <w:lang w:val="nl-BE"/>
              </w:rPr>
              <w:t xml:space="preserve">De Algemene Nationale Gegevensbank (ANG) is een politiedatabank waarin feiten </w:t>
            </w:r>
            <w:r w:rsidR="000C43C7" w:rsidRPr="005C38B1">
              <w:rPr>
                <w:rFonts w:ascii="Arial" w:hAnsi="Arial" w:cs="Arial"/>
                <w:spacing w:val="-6"/>
                <w:sz w:val="22"/>
                <w:szCs w:val="22"/>
                <w:lang w:val="nl-BE"/>
              </w:rPr>
              <w:t xml:space="preserve">worden </w:t>
            </w:r>
            <w:r w:rsidRPr="005C38B1">
              <w:rPr>
                <w:rFonts w:ascii="Arial" w:hAnsi="Arial" w:cs="Arial"/>
                <w:spacing w:val="-6"/>
                <w:sz w:val="22"/>
                <w:szCs w:val="22"/>
                <w:lang w:val="nl-BE"/>
              </w:rPr>
              <w:t>geregistreerd op basis van processen-verbaal die voortvloeien uit de missies van de gerechtelijke en bestuurlijke politie. Zij laat toe om tellingen uit te voeren op verschillende statistische variabelen, zoals het aantal geregistreerde feiten, de modus operandi, de voorwerpen gehanteerd bij het misdrijf, de gebruikte vervoermiddelen, de bestemmingen-plaats,</w:t>
            </w:r>
            <w:r w:rsidR="002D072C">
              <w:rPr>
                <w:rFonts w:ascii="Arial" w:hAnsi="Arial" w:cs="Arial"/>
                <w:spacing w:val="-6"/>
                <w:sz w:val="22"/>
                <w:szCs w:val="22"/>
                <w:lang w:val="nl-BE"/>
              </w:rPr>
              <w:t xml:space="preserve"> enz</w:t>
            </w:r>
            <w:r w:rsidR="006F63D5">
              <w:rPr>
                <w:rFonts w:ascii="Arial" w:hAnsi="Arial" w:cs="Arial"/>
                <w:spacing w:val="-6"/>
                <w:sz w:val="22"/>
                <w:szCs w:val="22"/>
                <w:lang w:val="nl-BE"/>
              </w:rPr>
              <w:t>.</w:t>
            </w:r>
          </w:p>
          <w:p w14:paraId="2CC29BD7" w14:textId="77777777" w:rsidR="000D3747" w:rsidRDefault="000D3747" w:rsidP="002B7E74">
            <w:pPr>
              <w:spacing w:line="276" w:lineRule="auto"/>
              <w:jc w:val="both"/>
              <w:rPr>
                <w:rFonts w:ascii="Arial" w:hAnsi="Arial" w:cs="Arial"/>
                <w:sz w:val="22"/>
                <w:szCs w:val="22"/>
                <w:lang w:val="nl-BE"/>
              </w:rPr>
            </w:pPr>
          </w:p>
          <w:p w14:paraId="10859F3A" w14:textId="50E7C8FB" w:rsidR="0090126B" w:rsidRDefault="000D3747" w:rsidP="000D3747">
            <w:pPr>
              <w:spacing w:line="276" w:lineRule="auto"/>
              <w:jc w:val="both"/>
              <w:rPr>
                <w:rFonts w:ascii="Arial" w:hAnsi="Arial" w:cs="Arial"/>
                <w:sz w:val="22"/>
                <w:szCs w:val="22"/>
                <w:lang w:val="nl-BE"/>
              </w:rPr>
            </w:pPr>
            <w:r>
              <w:rPr>
                <w:rFonts w:ascii="Arial" w:hAnsi="Arial" w:cs="Arial"/>
                <w:sz w:val="22"/>
                <w:szCs w:val="22"/>
                <w:lang w:val="nl-BE"/>
              </w:rPr>
              <w:t xml:space="preserve">De onderstaande gegevens </w:t>
            </w:r>
            <w:r w:rsidR="0080167D">
              <w:rPr>
                <w:rFonts w:ascii="Arial" w:hAnsi="Arial" w:cs="Arial"/>
                <w:sz w:val="22"/>
                <w:szCs w:val="22"/>
                <w:lang w:val="nl-BE"/>
              </w:rPr>
              <w:t xml:space="preserve">worden gepresenteerd voor het eerste </w:t>
            </w:r>
            <w:r w:rsidR="00992CDA">
              <w:rPr>
                <w:rFonts w:ascii="Arial" w:hAnsi="Arial" w:cs="Arial"/>
                <w:sz w:val="22"/>
                <w:szCs w:val="22"/>
                <w:lang w:val="nl-BE"/>
              </w:rPr>
              <w:t>trimester van 2024</w:t>
            </w:r>
            <w:r>
              <w:rPr>
                <w:rFonts w:ascii="Arial" w:hAnsi="Arial" w:cs="Arial"/>
                <w:sz w:val="22"/>
                <w:szCs w:val="22"/>
                <w:lang w:val="nl-BE"/>
              </w:rPr>
              <w:t>.</w:t>
            </w:r>
            <w:r w:rsidR="002B75E4">
              <w:rPr>
                <w:rFonts w:ascii="Arial" w:hAnsi="Arial" w:cs="Arial"/>
                <w:sz w:val="22"/>
                <w:szCs w:val="22"/>
                <w:lang w:val="nl-BE"/>
              </w:rPr>
              <w:t xml:space="preserve"> </w:t>
            </w:r>
          </w:p>
          <w:p w14:paraId="030690A0" w14:textId="77777777" w:rsidR="000D3747" w:rsidRDefault="000D3747" w:rsidP="000D3747">
            <w:pPr>
              <w:spacing w:line="276" w:lineRule="auto"/>
              <w:jc w:val="both"/>
              <w:rPr>
                <w:rFonts w:ascii="Arial" w:hAnsi="Arial" w:cs="Arial"/>
                <w:sz w:val="22"/>
                <w:szCs w:val="22"/>
                <w:lang w:val="nl-BE"/>
              </w:rPr>
            </w:pPr>
          </w:p>
          <w:p w14:paraId="37E377D1" w14:textId="7C2991DD" w:rsidR="002B7E74" w:rsidRPr="000D3747" w:rsidRDefault="002B7E74" w:rsidP="002B7E74">
            <w:pPr>
              <w:jc w:val="both"/>
              <w:rPr>
                <w:rFonts w:ascii="Arial" w:hAnsi="Arial" w:cs="Arial"/>
                <w:sz w:val="22"/>
                <w:szCs w:val="22"/>
                <w:lang w:val="nl-BE"/>
              </w:rPr>
            </w:pPr>
            <w:r w:rsidRPr="000D3747">
              <w:rPr>
                <w:rFonts w:ascii="Arial" w:hAnsi="Arial" w:cs="Arial"/>
                <w:sz w:val="22"/>
                <w:szCs w:val="22"/>
                <w:lang w:val="nl-BE"/>
              </w:rPr>
              <w:t>1.</w:t>
            </w:r>
          </w:p>
          <w:p w14:paraId="53A76661" w14:textId="7A69C4FD" w:rsidR="002B7E74" w:rsidRPr="0085382D" w:rsidRDefault="002B7E74" w:rsidP="002B7E74">
            <w:pPr>
              <w:spacing w:line="276" w:lineRule="auto"/>
              <w:jc w:val="both"/>
              <w:rPr>
                <w:rFonts w:ascii="Arial" w:hAnsi="Arial" w:cs="Arial"/>
                <w:spacing w:val="-4"/>
                <w:sz w:val="22"/>
                <w:szCs w:val="22"/>
                <w:lang w:val="nl-BE"/>
              </w:rPr>
            </w:pPr>
            <w:r w:rsidRPr="0085382D">
              <w:rPr>
                <w:rFonts w:ascii="Arial" w:hAnsi="Arial" w:cs="Arial"/>
                <w:spacing w:val="-4"/>
                <w:sz w:val="22"/>
                <w:szCs w:val="22"/>
                <w:lang w:val="nl-BE"/>
              </w:rPr>
              <w:t xml:space="preserve">Op basis van de informatie in de ANG kan </w:t>
            </w:r>
            <w:r w:rsidR="00AC0082" w:rsidRPr="0085382D">
              <w:rPr>
                <w:rFonts w:ascii="Arial" w:hAnsi="Arial" w:cs="Arial"/>
                <w:spacing w:val="-4"/>
                <w:sz w:val="22"/>
                <w:szCs w:val="22"/>
                <w:lang w:val="nl-BE"/>
              </w:rPr>
              <w:t xml:space="preserve">worden </w:t>
            </w:r>
            <w:r w:rsidRPr="0085382D">
              <w:rPr>
                <w:rFonts w:ascii="Arial" w:hAnsi="Arial" w:cs="Arial"/>
                <w:spacing w:val="-4"/>
                <w:sz w:val="22"/>
                <w:szCs w:val="22"/>
                <w:lang w:val="nl-BE"/>
              </w:rPr>
              <w:t xml:space="preserve">gerapporteerd over het aantal door de politie geregistreerde inbreuken inzake </w:t>
            </w:r>
            <w:r w:rsidR="001E6275" w:rsidRPr="0085382D">
              <w:rPr>
                <w:rFonts w:ascii="Arial" w:hAnsi="Arial" w:cs="Arial"/>
                <w:spacing w:val="-4"/>
                <w:sz w:val="22"/>
                <w:szCs w:val="22"/>
                <w:lang w:val="nl-BE"/>
              </w:rPr>
              <w:t xml:space="preserve">het misdrijf </w:t>
            </w:r>
            <w:r w:rsidRPr="0085382D">
              <w:rPr>
                <w:rFonts w:ascii="Arial" w:hAnsi="Arial" w:cs="Arial"/>
                <w:spacing w:val="-4"/>
                <w:sz w:val="22"/>
                <w:szCs w:val="22"/>
                <w:lang w:val="nl-BE"/>
              </w:rPr>
              <w:t>“Opzettelijke vernieling door ontploffing”.</w:t>
            </w:r>
          </w:p>
          <w:p w14:paraId="4CCE206A" w14:textId="77777777" w:rsidR="002447AD" w:rsidRDefault="002447AD" w:rsidP="000D3747">
            <w:pPr>
              <w:spacing w:line="276" w:lineRule="auto"/>
              <w:jc w:val="both"/>
              <w:rPr>
                <w:rFonts w:ascii="Arial" w:hAnsi="Arial" w:cs="Arial"/>
                <w:sz w:val="22"/>
                <w:szCs w:val="22"/>
                <w:lang w:val="nl-BE"/>
              </w:rPr>
            </w:pPr>
          </w:p>
          <w:p w14:paraId="3A2374E6" w14:textId="77777777" w:rsidR="0092527F" w:rsidRDefault="0092527F" w:rsidP="000D3747">
            <w:pPr>
              <w:spacing w:line="276" w:lineRule="auto"/>
              <w:jc w:val="both"/>
              <w:rPr>
                <w:rFonts w:ascii="Arial" w:hAnsi="Arial" w:cs="Arial"/>
                <w:sz w:val="22"/>
                <w:szCs w:val="22"/>
                <w:lang w:val="nl-BE"/>
              </w:rPr>
            </w:pPr>
          </w:p>
          <w:p w14:paraId="66133783" w14:textId="46BC579B" w:rsidR="00C16576" w:rsidRDefault="002B7E74" w:rsidP="000D3747">
            <w:pPr>
              <w:spacing w:line="276" w:lineRule="auto"/>
              <w:jc w:val="both"/>
              <w:rPr>
                <w:rFonts w:ascii="Arial" w:hAnsi="Arial" w:cs="Arial"/>
                <w:sz w:val="22"/>
                <w:szCs w:val="22"/>
                <w:lang w:val="nl-BE"/>
              </w:rPr>
            </w:pPr>
            <w:r w:rsidRPr="0085382D">
              <w:rPr>
                <w:rFonts w:ascii="Arial" w:hAnsi="Arial" w:cs="Arial"/>
                <w:sz w:val="22"/>
                <w:szCs w:val="22"/>
                <w:lang w:val="nl-BE"/>
              </w:rPr>
              <w:t xml:space="preserve">De </w:t>
            </w:r>
            <w:r w:rsidR="0045645F" w:rsidRPr="0085382D">
              <w:rPr>
                <w:rFonts w:ascii="Arial" w:hAnsi="Arial" w:cs="Arial"/>
                <w:sz w:val="22"/>
                <w:szCs w:val="22"/>
                <w:lang w:val="nl-BE"/>
              </w:rPr>
              <w:t xml:space="preserve">eerste </w:t>
            </w:r>
            <w:r w:rsidRPr="0085382D">
              <w:rPr>
                <w:rFonts w:ascii="Arial" w:hAnsi="Arial" w:cs="Arial"/>
                <w:sz w:val="22"/>
                <w:szCs w:val="22"/>
                <w:lang w:val="nl-BE"/>
              </w:rPr>
              <w:t xml:space="preserve">tabel </w:t>
            </w:r>
            <w:r w:rsidR="00650108">
              <w:rPr>
                <w:rFonts w:ascii="Arial" w:hAnsi="Arial" w:cs="Arial"/>
                <w:sz w:val="22"/>
                <w:szCs w:val="22"/>
                <w:lang w:val="nl-BE"/>
              </w:rPr>
              <w:t>gevoegd als</w:t>
            </w:r>
            <w:r w:rsidR="00650108" w:rsidRPr="0085382D">
              <w:rPr>
                <w:rFonts w:ascii="Arial" w:hAnsi="Arial" w:cs="Arial"/>
                <w:sz w:val="22"/>
                <w:szCs w:val="22"/>
                <w:lang w:val="nl-BE"/>
              </w:rPr>
              <w:t xml:space="preserve"> </w:t>
            </w:r>
            <w:r w:rsidRPr="0085382D">
              <w:rPr>
                <w:rFonts w:ascii="Arial" w:hAnsi="Arial" w:cs="Arial"/>
                <w:sz w:val="22"/>
                <w:szCs w:val="22"/>
                <w:lang w:val="nl-BE"/>
              </w:rPr>
              <w:t xml:space="preserve">bijlage bevat het aantal geregistreerde inbreuken </w:t>
            </w:r>
            <w:r w:rsidR="00992CDA" w:rsidRPr="0085382D">
              <w:rPr>
                <w:rFonts w:ascii="Arial" w:hAnsi="Arial" w:cs="Arial"/>
                <w:sz w:val="22"/>
                <w:szCs w:val="22"/>
                <w:lang w:val="nl-BE"/>
              </w:rPr>
              <w:t>inzake</w:t>
            </w:r>
            <w:r w:rsidRPr="0085382D">
              <w:rPr>
                <w:rFonts w:ascii="Arial" w:hAnsi="Arial" w:cs="Arial"/>
                <w:sz w:val="22"/>
                <w:szCs w:val="22"/>
                <w:lang w:val="nl-BE"/>
              </w:rPr>
              <w:t xml:space="preserve"> </w:t>
            </w:r>
            <w:r w:rsidR="00992CDA" w:rsidRPr="0085382D">
              <w:rPr>
                <w:rFonts w:ascii="Arial" w:hAnsi="Arial" w:cs="Arial"/>
                <w:sz w:val="22"/>
                <w:szCs w:val="22"/>
                <w:lang w:val="nl-BE"/>
              </w:rPr>
              <w:t>opzettelijke vernieling door ontploffing</w:t>
            </w:r>
            <w:r w:rsidRPr="0085382D">
              <w:rPr>
                <w:rFonts w:ascii="Arial" w:hAnsi="Arial" w:cs="Arial"/>
                <w:sz w:val="22"/>
                <w:szCs w:val="22"/>
                <w:lang w:val="nl-BE"/>
              </w:rPr>
              <w:t>, opgedeeld</w:t>
            </w:r>
            <w:r w:rsidR="006F0EE0">
              <w:rPr>
                <w:rFonts w:ascii="Arial" w:hAnsi="Arial" w:cs="Arial"/>
                <w:sz w:val="22"/>
                <w:szCs w:val="22"/>
                <w:lang w:val="nl-BE"/>
              </w:rPr>
              <w:t xml:space="preserve"> </w:t>
            </w:r>
            <w:r w:rsidR="00C16576">
              <w:rPr>
                <w:rFonts w:ascii="Arial" w:hAnsi="Arial" w:cs="Arial"/>
                <w:sz w:val="22"/>
                <w:szCs w:val="22"/>
                <w:lang w:val="nl-BE"/>
              </w:rPr>
              <w:t>per gewest.</w:t>
            </w:r>
          </w:p>
          <w:p w14:paraId="3B08BD59" w14:textId="77777777" w:rsidR="00196F6D" w:rsidRDefault="00196F6D" w:rsidP="000D3747">
            <w:pPr>
              <w:spacing w:line="276" w:lineRule="auto"/>
              <w:jc w:val="both"/>
              <w:rPr>
                <w:rFonts w:ascii="Arial" w:hAnsi="Arial" w:cs="Arial"/>
                <w:sz w:val="22"/>
                <w:szCs w:val="22"/>
                <w:lang w:val="nl-BE"/>
              </w:rPr>
            </w:pPr>
          </w:p>
          <w:p w14:paraId="0B50B2F1" w14:textId="77777777" w:rsidR="00B438FE" w:rsidRDefault="00B438FE" w:rsidP="000D3747">
            <w:pPr>
              <w:spacing w:line="276" w:lineRule="auto"/>
              <w:jc w:val="both"/>
              <w:rPr>
                <w:rFonts w:ascii="Arial" w:hAnsi="Arial" w:cs="Arial"/>
                <w:sz w:val="22"/>
                <w:szCs w:val="22"/>
                <w:lang w:val="nl-BE"/>
              </w:rPr>
            </w:pPr>
          </w:p>
          <w:p w14:paraId="52AA095E" w14:textId="77777777" w:rsidR="00B438FE" w:rsidRDefault="00B438FE" w:rsidP="000D3747">
            <w:pPr>
              <w:spacing w:line="276" w:lineRule="auto"/>
              <w:jc w:val="both"/>
              <w:rPr>
                <w:rFonts w:ascii="Arial" w:hAnsi="Arial" w:cs="Arial"/>
                <w:sz w:val="22"/>
                <w:szCs w:val="22"/>
                <w:lang w:val="nl-BE"/>
              </w:rPr>
            </w:pPr>
          </w:p>
          <w:p w14:paraId="068DC5BC" w14:textId="56429D90" w:rsidR="00FD7298" w:rsidRDefault="00FD7298" w:rsidP="00A413CF">
            <w:pPr>
              <w:spacing w:line="276" w:lineRule="auto"/>
              <w:jc w:val="both"/>
              <w:rPr>
                <w:rFonts w:ascii="Arial" w:hAnsi="Arial" w:cs="Arial"/>
                <w:sz w:val="22"/>
                <w:szCs w:val="22"/>
                <w:lang w:val="nl-BE"/>
              </w:rPr>
            </w:pPr>
            <w:r>
              <w:rPr>
                <w:rFonts w:ascii="Arial" w:hAnsi="Arial" w:cs="Arial"/>
                <w:sz w:val="22"/>
                <w:szCs w:val="22"/>
                <w:lang w:val="nl-BE"/>
              </w:rPr>
              <w:lastRenderedPageBreak/>
              <w:t>2.</w:t>
            </w:r>
          </w:p>
          <w:p w14:paraId="06738D5B" w14:textId="0906B20A" w:rsidR="002B7E74" w:rsidRPr="002B7E74" w:rsidRDefault="002B7E74" w:rsidP="002B7E74">
            <w:pPr>
              <w:spacing w:line="276" w:lineRule="auto"/>
              <w:jc w:val="both"/>
              <w:rPr>
                <w:rFonts w:ascii="Arial" w:hAnsi="Arial" w:cs="Arial"/>
                <w:sz w:val="22"/>
                <w:szCs w:val="22"/>
                <w:lang w:val="nl-BE"/>
              </w:rPr>
            </w:pPr>
            <w:r w:rsidRPr="002B7E74">
              <w:rPr>
                <w:rFonts w:ascii="Arial" w:hAnsi="Arial" w:cs="Arial"/>
                <w:sz w:val="22"/>
                <w:szCs w:val="22"/>
                <w:lang w:val="nl-BE"/>
              </w:rPr>
              <w:t xml:space="preserve">Het is op basis van de beschikbare variabelen in de ANG </w:t>
            </w:r>
            <w:r w:rsidR="0045645F">
              <w:rPr>
                <w:rFonts w:ascii="Arial" w:hAnsi="Arial" w:cs="Arial"/>
                <w:sz w:val="22"/>
                <w:szCs w:val="22"/>
                <w:lang w:val="nl-BE"/>
              </w:rPr>
              <w:t xml:space="preserve">niet mogelijk om </w:t>
            </w:r>
            <w:r w:rsidRPr="002B7E74">
              <w:rPr>
                <w:rFonts w:ascii="Arial" w:hAnsi="Arial" w:cs="Arial"/>
                <w:sz w:val="22"/>
                <w:szCs w:val="22"/>
                <w:lang w:val="nl-BE"/>
              </w:rPr>
              <w:t xml:space="preserve">aan te geven of criminele feiten ook </w:t>
            </w:r>
            <w:r w:rsidR="0045645F">
              <w:rPr>
                <w:rFonts w:ascii="Arial" w:hAnsi="Arial" w:cs="Arial"/>
                <w:sz w:val="22"/>
                <w:szCs w:val="22"/>
                <w:lang w:val="nl-BE"/>
              </w:rPr>
              <w:t>“</w:t>
            </w:r>
            <w:r w:rsidRPr="002B7E74">
              <w:rPr>
                <w:rFonts w:ascii="Arial" w:hAnsi="Arial" w:cs="Arial"/>
                <w:sz w:val="22"/>
                <w:szCs w:val="22"/>
                <w:lang w:val="nl-BE"/>
              </w:rPr>
              <w:t>druggerelateerde</w:t>
            </w:r>
            <w:r w:rsidR="0045645F">
              <w:rPr>
                <w:rFonts w:ascii="Arial" w:hAnsi="Arial" w:cs="Arial"/>
                <w:sz w:val="22"/>
                <w:szCs w:val="22"/>
                <w:lang w:val="nl-BE"/>
              </w:rPr>
              <w:t>”</w:t>
            </w:r>
            <w:r w:rsidRPr="002B7E74">
              <w:rPr>
                <w:rFonts w:ascii="Arial" w:hAnsi="Arial" w:cs="Arial"/>
                <w:sz w:val="22"/>
                <w:szCs w:val="22"/>
                <w:lang w:val="nl-BE"/>
              </w:rPr>
              <w:t xml:space="preserve"> criminaliteit zijn. De context </w:t>
            </w:r>
            <w:r w:rsidR="0045645F">
              <w:rPr>
                <w:rFonts w:ascii="Arial" w:hAnsi="Arial" w:cs="Arial"/>
                <w:sz w:val="22"/>
                <w:szCs w:val="22"/>
                <w:lang w:val="nl-BE"/>
              </w:rPr>
              <w:t>die weergeeft dat</w:t>
            </w:r>
            <w:r w:rsidRPr="002B7E74">
              <w:rPr>
                <w:rFonts w:ascii="Arial" w:hAnsi="Arial" w:cs="Arial"/>
                <w:sz w:val="22"/>
                <w:szCs w:val="22"/>
                <w:lang w:val="nl-BE"/>
              </w:rPr>
              <w:t xml:space="preserve"> bepaalde misdrijven </w:t>
            </w:r>
            <w:r w:rsidR="00650108" w:rsidRPr="002B7E74">
              <w:rPr>
                <w:rFonts w:ascii="Arial" w:hAnsi="Arial" w:cs="Arial"/>
                <w:sz w:val="22"/>
                <w:szCs w:val="22"/>
                <w:lang w:val="nl-BE"/>
              </w:rPr>
              <w:t xml:space="preserve">worden </w:t>
            </w:r>
            <w:r w:rsidRPr="002B7E74">
              <w:rPr>
                <w:rFonts w:ascii="Arial" w:hAnsi="Arial" w:cs="Arial"/>
                <w:sz w:val="22"/>
                <w:szCs w:val="22"/>
                <w:lang w:val="nl-BE"/>
              </w:rPr>
              <w:t xml:space="preserve">gepleegd in het kader van drugs (bijvoorbeeld diefstallen die gepleegd worden om drugs te kunnen kopen), is </w:t>
            </w:r>
            <w:r w:rsidR="0045645F">
              <w:rPr>
                <w:rFonts w:ascii="Arial" w:hAnsi="Arial" w:cs="Arial"/>
                <w:sz w:val="22"/>
                <w:szCs w:val="22"/>
                <w:lang w:val="nl-BE"/>
              </w:rPr>
              <w:t xml:space="preserve">immers </w:t>
            </w:r>
            <w:r w:rsidRPr="002B7E74">
              <w:rPr>
                <w:rFonts w:ascii="Arial" w:hAnsi="Arial" w:cs="Arial"/>
                <w:sz w:val="22"/>
                <w:szCs w:val="22"/>
                <w:lang w:val="nl-BE"/>
              </w:rPr>
              <w:t>niet aanwezig</w:t>
            </w:r>
            <w:r w:rsidR="0045645F">
              <w:rPr>
                <w:rFonts w:ascii="Arial" w:hAnsi="Arial" w:cs="Arial"/>
                <w:sz w:val="22"/>
                <w:szCs w:val="22"/>
                <w:lang w:val="nl-BE"/>
              </w:rPr>
              <w:t xml:space="preserve"> als statistische variabele</w:t>
            </w:r>
            <w:r w:rsidR="000D3747">
              <w:rPr>
                <w:rFonts w:ascii="Arial" w:hAnsi="Arial" w:cs="Arial"/>
                <w:sz w:val="22"/>
                <w:szCs w:val="22"/>
                <w:lang w:val="nl-BE"/>
              </w:rPr>
              <w:t xml:space="preserve"> om deze informatie op een gestructureerde en exhaustieve </w:t>
            </w:r>
            <w:r w:rsidR="00DB77F2">
              <w:rPr>
                <w:rFonts w:ascii="Arial" w:hAnsi="Arial" w:cs="Arial"/>
                <w:sz w:val="22"/>
                <w:szCs w:val="22"/>
                <w:lang w:val="nl-BE"/>
              </w:rPr>
              <w:t>manier</w:t>
            </w:r>
            <w:r w:rsidR="000D3747">
              <w:rPr>
                <w:rFonts w:ascii="Arial" w:hAnsi="Arial" w:cs="Arial"/>
                <w:sz w:val="22"/>
                <w:szCs w:val="22"/>
                <w:lang w:val="nl-BE"/>
              </w:rPr>
              <w:t xml:space="preserve"> uit de databank te lichten</w:t>
            </w:r>
            <w:r w:rsidR="0045645F">
              <w:rPr>
                <w:rFonts w:ascii="Arial" w:hAnsi="Arial" w:cs="Arial"/>
                <w:sz w:val="22"/>
                <w:szCs w:val="22"/>
                <w:lang w:val="nl-BE"/>
              </w:rPr>
              <w:t>.</w:t>
            </w:r>
          </w:p>
          <w:p w14:paraId="4A56FEA3" w14:textId="77777777" w:rsidR="002B7E74" w:rsidRDefault="002B7E74" w:rsidP="00A413CF">
            <w:pPr>
              <w:spacing w:line="276" w:lineRule="auto"/>
              <w:jc w:val="both"/>
              <w:rPr>
                <w:rFonts w:ascii="Arial" w:hAnsi="Arial" w:cs="Arial"/>
                <w:sz w:val="22"/>
                <w:szCs w:val="22"/>
                <w:lang w:val="nl-BE"/>
              </w:rPr>
            </w:pPr>
          </w:p>
          <w:p w14:paraId="238D2CB6" w14:textId="605709DA" w:rsidR="00FD7298" w:rsidRDefault="00FD7298" w:rsidP="00A413CF">
            <w:pPr>
              <w:spacing w:line="276" w:lineRule="auto"/>
              <w:jc w:val="both"/>
              <w:rPr>
                <w:rFonts w:ascii="Arial" w:hAnsi="Arial" w:cs="Arial"/>
                <w:sz w:val="22"/>
                <w:szCs w:val="22"/>
                <w:lang w:val="nl-BE"/>
              </w:rPr>
            </w:pPr>
            <w:r>
              <w:rPr>
                <w:rFonts w:ascii="Arial" w:hAnsi="Arial" w:cs="Arial"/>
                <w:sz w:val="22"/>
                <w:szCs w:val="22"/>
                <w:lang w:val="nl-BE"/>
              </w:rPr>
              <w:t>3.</w:t>
            </w:r>
          </w:p>
          <w:p w14:paraId="5D2D6074" w14:textId="24631DEA" w:rsidR="00FD7298" w:rsidRDefault="0045645F" w:rsidP="00A413CF">
            <w:pPr>
              <w:spacing w:line="276" w:lineRule="auto"/>
              <w:jc w:val="both"/>
              <w:rPr>
                <w:rFonts w:ascii="Arial" w:hAnsi="Arial" w:cs="Arial"/>
                <w:sz w:val="22"/>
                <w:szCs w:val="22"/>
                <w:lang w:val="nl-BE"/>
              </w:rPr>
            </w:pPr>
            <w:r>
              <w:rPr>
                <w:rFonts w:ascii="Arial" w:hAnsi="Arial" w:cs="Arial"/>
                <w:sz w:val="22"/>
                <w:szCs w:val="22"/>
                <w:lang w:val="nl-BE"/>
              </w:rPr>
              <w:t xml:space="preserve">Op basis van de beschikbare informatie in de ANG is het niet mogelijk te bepalen of er dodelijke slachtoffers zijn gevallen ten gevolge van deze misdrijven. </w:t>
            </w:r>
          </w:p>
          <w:p w14:paraId="75F446E3" w14:textId="77777777" w:rsidR="0045645F" w:rsidRDefault="0045645F" w:rsidP="00A413CF">
            <w:pPr>
              <w:spacing w:line="276" w:lineRule="auto"/>
              <w:jc w:val="both"/>
              <w:rPr>
                <w:rFonts w:ascii="Arial" w:hAnsi="Arial" w:cs="Arial"/>
                <w:sz w:val="22"/>
                <w:szCs w:val="22"/>
                <w:lang w:val="nl-BE"/>
              </w:rPr>
            </w:pPr>
          </w:p>
          <w:p w14:paraId="20A2C608" w14:textId="065E58BC" w:rsidR="0045645F" w:rsidRDefault="0045645F" w:rsidP="00A413CF">
            <w:pPr>
              <w:spacing w:line="276" w:lineRule="auto"/>
              <w:jc w:val="both"/>
              <w:rPr>
                <w:rFonts w:ascii="Arial" w:hAnsi="Arial" w:cs="Arial"/>
                <w:sz w:val="22"/>
                <w:szCs w:val="22"/>
                <w:lang w:val="nl-BE"/>
              </w:rPr>
            </w:pPr>
            <w:r>
              <w:rPr>
                <w:rFonts w:ascii="Arial" w:hAnsi="Arial" w:cs="Arial"/>
                <w:sz w:val="22"/>
                <w:szCs w:val="22"/>
                <w:lang w:val="nl-BE"/>
              </w:rPr>
              <w:t>4.</w:t>
            </w:r>
          </w:p>
          <w:p w14:paraId="56AD552E" w14:textId="60E8D0F8" w:rsidR="0045645F" w:rsidRPr="003746F6" w:rsidRDefault="0045645F" w:rsidP="00A413CF">
            <w:pPr>
              <w:spacing w:line="276" w:lineRule="auto"/>
              <w:jc w:val="both"/>
              <w:rPr>
                <w:rFonts w:ascii="Arial" w:hAnsi="Arial" w:cs="Arial"/>
                <w:spacing w:val="-4"/>
                <w:sz w:val="22"/>
                <w:szCs w:val="22"/>
                <w:lang w:val="nl-BE"/>
              </w:rPr>
            </w:pPr>
            <w:r w:rsidRPr="003746F6">
              <w:rPr>
                <w:rFonts w:ascii="Arial" w:hAnsi="Arial" w:cs="Arial"/>
                <w:spacing w:val="-4"/>
                <w:sz w:val="22"/>
                <w:szCs w:val="22"/>
                <w:lang w:val="nl-BE"/>
              </w:rPr>
              <w:t xml:space="preserve">De gegevens inzake </w:t>
            </w:r>
            <w:r w:rsidR="002442A7">
              <w:rPr>
                <w:rFonts w:ascii="Arial" w:hAnsi="Arial" w:cs="Arial"/>
                <w:spacing w:val="-4"/>
                <w:sz w:val="22"/>
                <w:szCs w:val="22"/>
                <w:lang w:val="nl-BE"/>
              </w:rPr>
              <w:t xml:space="preserve">gerechtelijke </w:t>
            </w:r>
            <w:r w:rsidRPr="003746F6">
              <w:rPr>
                <w:rFonts w:ascii="Arial" w:hAnsi="Arial" w:cs="Arial"/>
                <w:spacing w:val="-4"/>
                <w:sz w:val="22"/>
                <w:szCs w:val="22"/>
                <w:lang w:val="nl-BE"/>
              </w:rPr>
              <w:t>vervolgingen behoren tot de bevoegdheid van de Minister van Justitie.</w:t>
            </w:r>
          </w:p>
          <w:p w14:paraId="6D672268" w14:textId="77777777" w:rsidR="0045645F" w:rsidRDefault="0045645F" w:rsidP="00A413CF">
            <w:pPr>
              <w:spacing w:line="276" w:lineRule="auto"/>
              <w:jc w:val="both"/>
              <w:rPr>
                <w:rFonts w:ascii="Arial" w:hAnsi="Arial" w:cs="Arial"/>
                <w:sz w:val="22"/>
                <w:szCs w:val="22"/>
                <w:lang w:val="nl-BE"/>
              </w:rPr>
            </w:pPr>
          </w:p>
          <w:p w14:paraId="198D1678" w14:textId="7521996E" w:rsidR="0045645F" w:rsidRDefault="0045645F" w:rsidP="00A413CF">
            <w:pPr>
              <w:spacing w:line="276" w:lineRule="auto"/>
              <w:jc w:val="both"/>
              <w:rPr>
                <w:rFonts w:ascii="Arial" w:hAnsi="Arial" w:cs="Arial"/>
                <w:sz w:val="22"/>
                <w:szCs w:val="22"/>
                <w:lang w:val="nl-BE"/>
              </w:rPr>
            </w:pPr>
            <w:r>
              <w:rPr>
                <w:rFonts w:ascii="Arial" w:hAnsi="Arial" w:cs="Arial"/>
                <w:sz w:val="22"/>
                <w:szCs w:val="22"/>
                <w:lang w:val="nl-BE"/>
              </w:rPr>
              <w:t>5.</w:t>
            </w:r>
          </w:p>
          <w:p w14:paraId="3D50ECE8" w14:textId="5EA5A1CB" w:rsidR="0045645F" w:rsidRDefault="0045645F" w:rsidP="0045645F">
            <w:pPr>
              <w:spacing w:line="276" w:lineRule="auto"/>
              <w:jc w:val="both"/>
              <w:rPr>
                <w:rFonts w:ascii="Arial" w:hAnsi="Arial" w:cs="Arial"/>
                <w:sz w:val="22"/>
                <w:szCs w:val="22"/>
                <w:lang w:val="nl-BE"/>
              </w:rPr>
            </w:pPr>
            <w:r>
              <w:rPr>
                <w:rFonts w:ascii="Arial" w:hAnsi="Arial" w:cs="Arial"/>
                <w:sz w:val="22"/>
                <w:szCs w:val="22"/>
                <w:lang w:val="nl-BE"/>
              </w:rPr>
              <w:t xml:space="preserve">De tweede tabel </w:t>
            </w:r>
            <w:r w:rsidR="001134C5">
              <w:rPr>
                <w:rFonts w:ascii="Arial" w:hAnsi="Arial" w:cs="Arial"/>
                <w:sz w:val="22"/>
                <w:szCs w:val="22"/>
                <w:lang w:val="nl-BE"/>
              </w:rPr>
              <w:t>gevoegd als</w:t>
            </w:r>
            <w:r>
              <w:rPr>
                <w:rFonts w:ascii="Arial" w:hAnsi="Arial" w:cs="Arial"/>
                <w:sz w:val="22"/>
                <w:szCs w:val="22"/>
                <w:lang w:val="nl-BE"/>
              </w:rPr>
              <w:t xml:space="preserve"> bijlage bevat het aantal geregistreerde inbreuken inzake de hoofdcategorie “Drugs”, opgedeeld per </w:t>
            </w:r>
            <w:r w:rsidR="00D1410B">
              <w:rPr>
                <w:rFonts w:ascii="Arial" w:hAnsi="Arial" w:cs="Arial"/>
                <w:sz w:val="22"/>
                <w:szCs w:val="22"/>
                <w:lang w:val="nl-BE"/>
              </w:rPr>
              <w:t>klasse</w:t>
            </w:r>
            <w:r w:rsidR="00DB77F2">
              <w:rPr>
                <w:rFonts w:ascii="Arial" w:hAnsi="Arial" w:cs="Arial"/>
                <w:sz w:val="22"/>
                <w:szCs w:val="22"/>
                <w:lang w:val="nl-BE"/>
              </w:rPr>
              <w:t>, op nationaal niveau</w:t>
            </w:r>
            <w:r>
              <w:rPr>
                <w:rFonts w:ascii="Arial" w:hAnsi="Arial" w:cs="Arial"/>
                <w:sz w:val="22"/>
                <w:szCs w:val="22"/>
                <w:lang w:val="nl-BE"/>
              </w:rPr>
              <w:t>.</w:t>
            </w:r>
          </w:p>
          <w:p w14:paraId="649D60A3" w14:textId="77777777" w:rsidR="0045645F" w:rsidRDefault="0045645F" w:rsidP="0045645F">
            <w:pPr>
              <w:spacing w:line="276" w:lineRule="auto"/>
              <w:jc w:val="both"/>
              <w:rPr>
                <w:rFonts w:ascii="Arial" w:hAnsi="Arial" w:cs="Arial"/>
                <w:sz w:val="22"/>
                <w:szCs w:val="22"/>
                <w:lang w:val="nl-BE"/>
              </w:rPr>
            </w:pPr>
          </w:p>
          <w:p w14:paraId="5437292B" w14:textId="090FF180" w:rsidR="00533C39" w:rsidRDefault="00533C39" w:rsidP="00533C39">
            <w:pPr>
              <w:spacing w:line="276" w:lineRule="auto"/>
              <w:jc w:val="both"/>
              <w:rPr>
                <w:rFonts w:ascii="Arial" w:hAnsi="Arial" w:cs="Arial"/>
                <w:sz w:val="22"/>
                <w:szCs w:val="22"/>
                <w:lang w:val="nl-BE"/>
              </w:rPr>
            </w:pPr>
            <w:r>
              <w:rPr>
                <w:rFonts w:ascii="Arial" w:hAnsi="Arial" w:cs="Arial"/>
                <w:sz w:val="22"/>
                <w:szCs w:val="22"/>
                <w:lang w:val="nl-BE"/>
              </w:rPr>
              <w:t>6.</w:t>
            </w:r>
          </w:p>
          <w:p w14:paraId="6333436A" w14:textId="1F40AC4D" w:rsidR="00533C39" w:rsidRDefault="00533C39" w:rsidP="00533C39">
            <w:pPr>
              <w:spacing w:line="276" w:lineRule="auto"/>
              <w:jc w:val="both"/>
              <w:rPr>
                <w:rFonts w:ascii="Arial" w:hAnsi="Arial" w:cs="Arial"/>
                <w:sz w:val="22"/>
                <w:szCs w:val="22"/>
                <w:lang w:val="nl-BE"/>
              </w:rPr>
            </w:pPr>
            <w:r>
              <w:rPr>
                <w:rFonts w:ascii="Arial" w:hAnsi="Arial" w:cs="Arial"/>
                <w:sz w:val="22"/>
                <w:szCs w:val="22"/>
                <w:lang w:val="nl-BE"/>
              </w:rPr>
              <w:t xml:space="preserve">De derde tabel </w:t>
            </w:r>
            <w:r w:rsidR="001134C5">
              <w:rPr>
                <w:rFonts w:ascii="Arial" w:hAnsi="Arial" w:cs="Arial"/>
                <w:sz w:val="22"/>
                <w:szCs w:val="22"/>
                <w:lang w:val="nl-BE"/>
              </w:rPr>
              <w:t>gevoegd als</w:t>
            </w:r>
            <w:r>
              <w:rPr>
                <w:rFonts w:ascii="Arial" w:hAnsi="Arial" w:cs="Arial"/>
                <w:sz w:val="22"/>
                <w:szCs w:val="22"/>
                <w:lang w:val="nl-BE"/>
              </w:rPr>
              <w:t xml:space="preserve"> bijlage bevat het aantal geregistreerde inbreuken inzake de hoofdcategorie “Drugs” </w:t>
            </w:r>
            <w:r w:rsidR="00992CDA">
              <w:rPr>
                <w:rFonts w:ascii="Arial" w:hAnsi="Arial" w:cs="Arial"/>
                <w:sz w:val="22"/>
                <w:szCs w:val="22"/>
                <w:lang w:val="nl-BE"/>
              </w:rPr>
              <w:t xml:space="preserve">met een opdeling naar </w:t>
            </w:r>
            <w:r>
              <w:rPr>
                <w:rFonts w:ascii="Arial" w:hAnsi="Arial" w:cs="Arial"/>
                <w:sz w:val="22"/>
                <w:szCs w:val="22"/>
                <w:lang w:val="nl-BE"/>
              </w:rPr>
              <w:t>de geregistreerde nationaliteiten van de verdachte</w:t>
            </w:r>
            <w:r w:rsidR="00992CDA">
              <w:rPr>
                <w:rFonts w:ascii="Arial" w:hAnsi="Arial" w:cs="Arial"/>
                <w:sz w:val="22"/>
                <w:szCs w:val="22"/>
                <w:lang w:val="nl-BE"/>
              </w:rPr>
              <w:t xml:space="preserve"> (top 10 nationaliteiten)</w:t>
            </w:r>
            <w:r w:rsidR="00DB77F2">
              <w:rPr>
                <w:rFonts w:ascii="Arial" w:hAnsi="Arial" w:cs="Arial"/>
                <w:sz w:val="22"/>
                <w:szCs w:val="22"/>
                <w:lang w:val="nl-BE"/>
              </w:rPr>
              <w:t>, op nationaal niveau</w:t>
            </w:r>
            <w:r>
              <w:rPr>
                <w:rFonts w:ascii="Arial" w:hAnsi="Arial" w:cs="Arial"/>
                <w:sz w:val="22"/>
                <w:szCs w:val="22"/>
                <w:lang w:val="nl-BE"/>
              </w:rPr>
              <w:t>.</w:t>
            </w:r>
          </w:p>
          <w:p w14:paraId="1E499D93" w14:textId="77777777" w:rsidR="00533C39" w:rsidRPr="0046305D" w:rsidRDefault="00533C39" w:rsidP="00992CDA">
            <w:pPr>
              <w:spacing w:line="276" w:lineRule="auto"/>
              <w:jc w:val="both"/>
              <w:rPr>
                <w:rFonts w:ascii="Arial" w:hAnsi="Arial" w:cs="Arial"/>
                <w:sz w:val="22"/>
                <w:szCs w:val="22"/>
                <w:lang w:val="nl-BE"/>
              </w:rPr>
            </w:pPr>
          </w:p>
        </w:tc>
        <w:tc>
          <w:tcPr>
            <w:tcW w:w="4917" w:type="dxa"/>
          </w:tcPr>
          <w:p w14:paraId="092EDA0F" w14:textId="430D06BB" w:rsidR="008A7E45" w:rsidRDefault="00927D9C" w:rsidP="00A413CF">
            <w:pPr>
              <w:spacing w:line="276" w:lineRule="auto"/>
              <w:jc w:val="both"/>
              <w:rPr>
                <w:rFonts w:ascii="Arial" w:hAnsi="Arial" w:cs="Arial"/>
                <w:sz w:val="22"/>
                <w:szCs w:val="22"/>
                <w:lang w:val="fr-BE"/>
              </w:rPr>
            </w:pPr>
            <w:r w:rsidRPr="00927D9C">
              <w:rPr>
                <w:rFonts w:ascii="Arial" w:hAnsi="Arial" w:cs="Arial"/>
                <w:sz w:val="22"/>
                <w:szCs w:val="22"/>
                <w:lang w:val="fr-BE"/>
              </w:rPr>
              <w:lastRenderedPageBreak/>
              <w:t xml:space="preserve">L’honorable </w:t>
            </w:r>
            <w:r w:rsidR="00154DB8">
              <w:rPr>
                <w:rFonts w:ascii="Arial" w:hAnsi="Arial" w:cs="Arial"/>
                <w:sz w:val="22"/>
                <w:szCs w:val="22"/>
                <w:lang w:val="fr-BE"/>
              </w:rPr>
              <w:t>m</w:t>
            </w:r>
            <w:r w:rsidRPr="00927D9C">
              <w:rPr>
                <w:rFonts w:ascii="Arial" w:hAnsi="Arial" w:cs="Arial"/>
                <w:sz w:val="22"/>
                <w:szCs w:val="22"/>
                <w:lang w:val="fr-BE"/>
              </w:rPr>
              <w:t>embre trouvera ci-après la réponse aux questions posées.</w:t>
            </w:r>
          </w:p>
          <w:p w14:paraId="4885A26D" w14:textId="77777777" w:rsidR="00154DB8" w:rsidRDefault="00154DB8" w:rsidP="00A413CF">
            <w:pPr>
              <w:spacing w:line="276" w:lineRule="auto"/>
              <w:jc w:val="both"/>
              <w:rPr>
                <w:rFonts w:ascii="Arial" w:hAnsi="Arial" w:cs="Arial"/>
                <w:sz w:val="22"/>
                <w:szCs w:val="22"/>
                <w:lang w:val="fr-BE"/>
              </w:rPr>
            </w:pPr>
          </w:p>
          <w:p w14:paraId="428B1019" w14:textId="2E1BF836" w:rsidR="00154DB8" w:rsidRDefault="005C38B1" w:rsidP="00A413CF">
            <w:pPr>
              <w:spacing w:line="276" w:lineRule="auto"/>
              <w:jc w:val="both"/>
              <w:rPr>
                <w:rFonts w:ascii="Arial" w:hAnsi="Arial" w:cs="Arial"/>
                <w:sz w:val="22"/>
                <w:szCs w:val="22"/>
                <w:lang w:val="fr-BE"/>
              </w:rPr>
            </w:pPr>
            <w:r w:rsidRPr="001B28EB">
              <w:rPr>
                <w:rFonts w:ascii="Arial" w:hAnsi="Arial" w:cs="Arial"/>
                <w:sz w:val="22"/>
                <w:szCs w:val="22"/>
                <w:lang w:val="fr-BE"/>
              </w:rPr>
              <w:t xml:space="preserve">La Banque de données nationale générale (BNG) est une base de données policières dans laquelle sont enregistrés les faits sur </w:t>
            </w:r>
            <w:r w:rsidR="00747143">
              <w:rPr>
                <w:rFonts w:ascii="Arial" w:hAnsi="Arial" w:cs="Arial"/>
                <w:sz w:val="22"/>
                <w:szCs w:val="22"/>
                <w:lang w:val="fr-BE"/>
              </w:rPr>
              <w:t xml:space="preserve">la </w:t>
            </w:r>
            <w:r w:rsidRPr="001B28EB">
              <w:rPr>
                <w:rFonts w:ascii="Arial" w:hAnsi="Arial" w:cs="Arial"/>
                <w:sz w:val="22"/>
                <w:szCs w:val="22"/>
                <w:lang w:val="fr-BE"/>
              </w:rPr>
              <w:t>base de procès-verbaux résultant des missions de police judiciaire et administrative. Elle permet de réaliser des comptages sur différentes variables statistiques telles que le nombre de faits enregistrés, les modus operandi, les objets utilisés lors de l’infraction, les moyens de transport utilisés, les destinations de lieu, etc.</w:t>
            </w:r>
          </w:p>
          <w:p w14:paraId="4500984C" w14:textId="77777777" w:rsidR="005C38B1" w:rsidRDefault="005C38B1" w:rsidP="00A413CF">
            <w:pPr>
              <w:spacing w:line="276" w:lineRule="auto"/>
              <w:jc w:val="both"/>
              <w:rPr>
                <w:rFonts w:ascii="Arial" w:hAnsi="Arial" w:cs="Arial"/>
                <w:sz w:val="22"/>
                <w:szCs w:val="22"/>
                <w:lang w:val="fr-BE"/>
              </w:rPr>
            </w:pPr>
          </w:p>
          <w:p w14:paraId="309E3CA9" w14:textId="77777777" w:rsidR="006662AB" w:rsidRDefault="006662AB" w:rsidP="00A413CF">
            <w:pPr>
              <w:spacing w:line="276" w:lineRule="auto"/>
              <w:jc w:val="both"/>
              <w:rPr>
                <w:rFonts w:ascii="Arial" w:hAnsi="Arial" w:cs="Arial"/>
                <w:sz w:val="22"/>
                <w:szCs w:val="22"/>
                <w:lang w:val="fr-BE"/>
              </w:rPr>
            </w:pPr>
          </w:p>
          <w:p w14:paraId="6451FB51" w14:textId="2C4061EA" w:rsidR="0090126B" w:rsidRPr="000F0A7E" w:rsidRDefault="000F0A7E" w:rsidP="0090126B">
            <w:pPr>
              <w:spacing w:line="276" w:lineRule="auto"/>
              <w:jc w:val="both"/>
              <w:rPr>
                <w:rFonts w:ascii="Arial" w:hAnsi="Arial" w:cs="Arial"/>
                <w:sz w:val="22"/>
                <w:szCs w:val="22"/>
                <w:lang w:val="fr-BE"/>
              </w:rPr>
            </w:pPr>
            <w:r w:rsidRPr="000F0A7E">
              <w:rPr>
                <w:rFonts w:ascii="Arial" w:hAnsi="Arial" w:cs="Arial"/>
                <w:sz w:val="22"/>
                <w:szCs w:val="22"/>
                <w:lang w:val="fr-BE"/>
              </w:rPr>
              <w:t>L</w:t>
            </w:r>
            <w:r w:rsidR="005C38B1" w:rsidRPr="000F0A7E">
              <w:rPr>
                <w:rFonts w:ascii="Arial" w:hAnsi="Arial" w:cs="Arial"/>
                <w:sz w:val="22"/>
                <w:szCs w:val="22"/>
                <w:lang w:val="fr-BE"/>
              </w:rPr>
              <w:t>e</w:t>
            </w:r>
            <w:r w:rsidRPr="000F0A7E">
              <w:rPr>
                <w:rFonts w:ascii="Arial" w:hAnsi="Arial" w:cs="Arial"/>
                <w:sz w:val="22"/>
                <w:szCs w:val="22"/>
                <w:lang w:val="fr-BE"/>
              </w:rPr>
              <w:t>s données ci-dessous sont présentées pour le premier trimestre 2024</w:t>
            </w:r>
            <w:r w:rsidR="005C38B1" w:rsidRPr="000F0A7E">
              <w:rPr>
                <w:rFonts w:ascii="Arial" w:hAnsi="Arial" w:cs="Arial"/>
                <w:sz w:val="22"/>
                <w:szCs w:val="22"/>
                <w:lang w:val="fr-BE"/>
              </w:rPr>
              <w:t>.</w:t>
            </w:r>
            <w:r w:rsidR="002B75E4">
              <w:rPr>
                <w:rFonts w:ascii="Arial" w:hAnsi="Arial" w:cs="Arial"/>
                <w:sz w:val="22"/>
                <w:szCs w:val="22"/>
                <w:lang w:val="fr-BE"/>
              </w:rPr>
              <w:t xml:space="preserve"> </w:t>
            </w:r>
          </w:p>
          <w:p w14:paraId="65703A21" w14:textId="77777777" w:rsidR="00A413CF" w:rsidRDefault="00A413CF" w:rsidP="00A413CF">
            <w:pPr>
              <w:spacing w:line="276" w:lineRule="auto"/>
              <w:jc w:val="both"/>
              <w:rPr>
                <w:rFonts w:ascii="Arial" w:hAnsi="Arial" w:cs="Arial"/>
                <w:sz w:val="22"/>
                <w:szCs w:val="22"/>
                <w:lang w:val="fr-BE"/>
              </w:rPr>
            </w:pPr>
          </w:p>
          <w:p w14:paraId="42EC80ED" w14:textId="77777777" w:rsidR="002447AD" w:rsidRPr="000F0A7E" w:rsidRDefault="002447AD" w:rsidP="00A413CF">
            <w:pPr>
              <w:spacing w:line="276" w:lineRule="auto"/>
              <w:jc w:val="both"/>
              <w:rPr>
                <w:rFonts w:ascii="Arial" w:hAnsi="Arial" w:cs="Arial"/>
                <w:sz w:val="22"/>
                <w:szCs w:val="22"/>
                <w:lang w:val="fr-BE"/>
              </w:rPr>
            </w:pPr>
          </w:p>
          <w:p w14:paraId="6FCAA909" w14:textId="77777777" w:rsidR="001B4B05" w:rsidRPr="008B3295" w:rsidRDefault="001B4B05" w:rsidP="001B4B05">
            <w:pPr>
              <w:spacing w:line="276" w:lineRule="auto"/>
              <w:jc w:val="both"/>
              <w:rPr>
                <w:rFonts w:ascii="Arial" w:hAnsi="Arial" w:cs="Arial"/>
                <w:sz w:val="22"/>
                <w:szCs w:val="22"/>
                <w:lang w:val="fr-BE"/>
              </w:rPr>
            </w:pPr>
            <w:r w:rsidRPr="008B3295">
              <w:rPr>
                <w:rFonts w:ascii="Arial" w:hAnsi="Arial" w:cs="Arial"/>
                <w:sz w:val="22"/>
                <w:szCs w:val="22"/>
                <w:lang w:val="fr-BE"/>
              </w:rPr>
              <w:t>1.</w:t>
            </w:r>
          </w:p>
          <w:p w14:paraId="2DB317FF" w14:textId="5C3CA681" w:rsidR="005C38B1" w:rsidRPr="005C38B1" w:rsidRDefault="00E1553A" w:rsidP="005C38B1">
            <w:pPr>
              <w:spacing w:line="276" w:lineRule="auto"/>
              <w:jc w:val="both"/>
              <w:rPr>
                <w:rFonts w:ascii="Arial" w:hAnsi="Arial" w:cs="Arial"/>
                <w:sz w:val="22"/>
                <w:szCs w:val="22"/>
                <w:lang w:val="fr-BE"/>
              </w:rPr>
            </w:pPr>
            <w:r>
              <w:rPr>
                <w:rFonts w:ascii="Arial" w:hAnsi="Arial" w:cs="Arial"/>
                <w:sz w:val="22"/>
                <w:szCs w:val="22"/>
                <w:lang w:val="fr-BE"/>
              </w:rPr>
              <w:t>L</w:t>
            </w:r>
            <w:r w:rsidR="00747143" w:rsidRPr="005C38B1">
              <w:rPr>
                <w:rFonts w:ascii="Arial" w:hAnsi="Arial" w:cs="Arial"/>
                <w:sz w:val="22"/>
                <w:szCs w:val="22"/>
                <w:lang w:val="fr-BE"/>
              </w:rPr>
              <w:t xml:space="preserve">es informations </w:t>
            </w:r>
            <w:r w:rsidR="00747143">
              <w:rPr>
                <w:rFonts w:ascii="Arial" w:hAnsi="Arial" w:cs="Arial"/>
                <w:sz w:val="22"/>
                <w:szCs w:val="22"/>
                <w:lang w:val="fr-BE"/>
              </w:rPr>
              <w:t>disponibles</w:t>
            </w:r>
            <w:r w:rsidR="00747143" w:rsidRPr="005C38B1">
              <w:rPr>
                <w:rFonts w:ascii="Arial" w:hAnsi="Arial" w:cs="Arial"/>
                <w:sz w:val="22"/>
                <w:szCs w:val="22"/>
                <w:lang w:val="fr-BE"/>
              </w:rPr>
              <w:t xml:space="preserve"> dans la BNG</w:t>
            </w:r>
            <w:r>
              <w:rPr>
                <w:rFonts w:ascii="Arial" w:hAnsi="Arial" w:cs="Arial"/>
                <w:sz w:val="22"/>
                <w:szCs w:val="22"/>
                <w:lang w:val="fr-BE"/>
              </w:rPr>
              <w:t xml:space="preserve"> permettent de rendre compte </w:t>
            </w:r>
            <w:r w:rsidR="00B87054">
              <w:rPr>
                <w:rFonts w:ascii="Arial" w:hAnsi="Arial" w:cs="Arial"/>
                <w:sz w:val="22"/>
                <w:szCs w:val="22"/>
                <w:lang w:val="fr-BE"/>
              </w:rPr>
              <w:t xml:space="preserve">du </w:t>
            </w:r>
            <w:r w:rsidR="005C38B1" w:rsidRPr="005C38B1">
              <w:rPr>
                <w:rFonts w:ascii="Arial" w:hAnsi="Arial" w:cs="Arial"/>
                <w:sz w:val="22"/>
                <w:szCs w:val="22"/>
                <w:lang w:val="fr-BE"/>
              </w:rPr>
              <w:t xml:space="preserve">nombre d’infractions </w:t>
            </w:r>
            <w:r w:rsidR="000F0A7E">
              <w:rPr>
                <w:rFonts w:ascii="Arial" w:hAnsi="Arial" w:cs="Arial"/>
                <w:sz w:val="22"/>
                <w:szCs w:val="22"/>
                <w:lang w:val="fr-BE"/>
              </w:rPr>
              <w:t>relatives au délit de</w:t>
            </w:r>
            <w:r w:rsidR="005C38B1">
              <w:rPr>
                <w:rFonts w:ascii="Arial" w:hAnsi="Arial" w:cs="Arial"/>
                <w:sz w:val="22"/>
                <w:szCs w:val="22"/>
                <w:lang w:val="fr-BE"/>
              </w:rPr>
              <w:t xml:space="preserve"> «</w:t>
            </w:r>
            <w:r w:rsidR="00747143">
              <w:rPr>
                <w:rFonts w:ascii="Arial" w:hAnsi="Arial" w:cs="Arial"/>
                <w:sz w:val="22"/>
                <w:szCs w:val="22"/>
                <w:lang w:val="fr-BE"/>
              </w:rPr>
              <w:t> </w:t>
            </w:r>
            <w:r w:rsidR="000F0A7E">
              <w:rPr>
                <w:rFonts w:ascii="Arial" w:hAnsi="Arial" w:cs="Arial"/>
                <w:sz w:val="22"/>
                <w:szCs w:val="22"/>
                <w:lang w:val="fr-BE"/>
              </w:rPr>
              <w:t>Destruction par explosion volontaire</w:t>
            </w:r>
            <w:r w:rsidR="00747143">
              <w:rPr>
                <w:rFonts w:ascii="Arial" w:hAnsi="Arial" w:cs="Arial"/>
                <w:sz w:val="22"/>
                <w:szCs w:val="22"/>
                <w:lang w:val="fr-BE"/>
              </w:rPr>
              <w:t> </w:t>
            </w:r>
            <w:r w:rsidR="000F0A7E">
              <w:rPr>
                <w:rFonts w:ascii="Arial" w:hAnsi="Arial" w:cs="Arial"/>
                <w:sz w:val="22"/>
                <w:szCs w:val="22"/>
                <w:lang w:val="fr-BE"/>
              </w:rPr>
              <w:t>»</w:t>
            </w:r>
            <w:r w:rsidR="005C38B1" w:rsidRPr="005C38B1">
              <w:rPr>
                <w:rFonts w:ascii="Arial" w:hAnsi="Arial" w:cs="Arial"/>
                <w:sz w:val="22"/>
                <w:szCs w:val="22"/>
                <w:lang w:val="fr-BE"/>
              </w:rPr>
              <w:t xml:space="preserve"> enregistrées par la police.</w:t>
            </w:r>
          </w:p>
          <w:p w14:paraId="7736E53A" w14:textId="77777777" w:rsidR="005C38B1" w:rsidRPr="005C38B1" w:rsidRDefault="005C38B1" w:rsidP="005C38B1">
            <w:pPr>
              <w:spacing w:line="276" w:lineRule="auto"/>
              <w:jc w:val="both"/>
              <w:rPr>
                <w:rFonts w:ascii="Arial" w:hAnsi="Arial" w:cs="Arial"/>
                <w:sz w:val="22"/>
                <w:szCs w:val="22"/>
                <w:lang w:val="fr-BE"/>
              </w:rPr>
            </w:pPr>
          </w:p>
          <w:p w14:paraId="1004C833" w14:textId="1DCC9069" w:rsidR="005C38B1" w:rsidRDefault="000F0A7E" w:rsidP="005C38B1">
            <w:pPr>
              <w:spacing w:line="276" w:lineRule="auto"/>
              <w:jc w:val="both"/>
              <w:rPr>
                <w:rFonts w:ascii="Arial" w:hAnsi="Arial" w:cs="Arial"/>
                <w:sz w:val="22"/>
                <w:szCs w:val="22"/>
                <w:lang w:val="fr-BE"/>
              </w:rPr>
            </w:pPr>
            <w:r w:rsidRPr="000F0A7E">
              <w:rPr>
                <w:rFonts w:ascii="Arial" w:hAnsi="Arial" w:cs="Arial"/>
                <w:sz w:val="22"/>
                <w:szCs w:val="22"/>
                <w:lang w:val="fr-BE"/>
              </w:rPr>
              <w:t>L</w:t>
            </w:r>
            <w:r w:rsidR="005C38B1" w:rsidRPr="000F0A7E">
              <w:rPr>
                <w:rFonts w:ascii="Arial" w:hAnsi="Arial" w:cs="Arial"/>
                <w:sz w:val="22"/>
                <w:szCs w:val="22"/>
                <w:lang w:val="fr-BE"/>
              </w:rPr>
              <w:t xml:space="preserve">e </w:t>
            </w:r>
            <w:r w:rsidRPr="000F0A7E">
              <w:rPr>
                <w:rFonts w:ascii="Arial" w:hAnsi="Arial" w:cs="Arial"/>
                <w:sz w:val="22"/>
                <w:szCs w:val="22"/>
                <w:lang w:val="fr-BE"/>
              </w:rPr>
              <w:t xml:space="preserve">premier tableau en annexe </w:t>
            </w:r>
            <w:r w:rsidR="00747143">
              <w:rPr>
                <w:rFonts w:ascii="Arial" w:hAnsi="Arial" w:cs="Arial"/>
                <w:sz w:val="22"/>
                <w:szCs w:val="22"/>
                <w:lang w:val="fr-BE"/>
              </w:rPr>
              <w:t>com</w:t>
            </w:r>
            <w:r w:rsidRPr="000F0A7E">
              <w:rPr>
                <w:rFonts w:ascii="Arial" w:hAnsi="Arial" w:cs="Arial"/>
                <w:sz w:val="22"/>
                <w:szCs w:val="22"/>
                <w:lang w:val="fr-BE"/>
              </w:rPr>
              <w:t>prend le nombre d’infractions enregistrées en matière de destruction par explosion volontaire, réparties par ré</w:t>
            </w:r>
            <w:r>
              <w:rPr>
                <w:rFonts w:ascii="Arial" w:hAnsi="Arial" w:cs="Arial"/>
                <w:sz w:val="22"/>
                <w:szCs w:val="22"/>
                <w:lang w:val="fr-BE"/>
              </w:rPr>
              <w:t xml:space="preserve">gion. </w:t>
            </w:r>
          </w:p>
          <w:p w14:paraId="3A11E5E0" w14:textId="77777777" w:rsidR="00EA3249" w:rsidRDefault="00EA3249" w:rsidP="005C38B1">
            <w:pPr>
              <w:spacing w:line="276" w:lineRule="auto"/>
              <w:jc w:val="both"/>
              <w:rPr>
                <w:rFonts w:ascii="Arial" w:hAnsi="Arial" w:cs="Arial"/>
                <w:sz w:val="22"/>
                <w:szCs w:val="22"/>
                <w:lang w:val="fr-BE"/>
              </w:rPr>
            </w:pPr>
          </w:p>
          <w:p w14:paraId="6E0847ED" w14:textId="77777777" w:rsidR="00B438FE" w:rsidRDefault="00B438FE" w:rsidP="005C38B1">
            <w:pPr>
              <w:spacing w:line="276" w:lineRule="auto"/>
              <w:jc w:val="both"/>
              <w:rPr>
                <w:rFonts w:ascii="Arial" w:hAnsi="Arial" w:cs="Arial"/>
                <w:sz w:val="22"/>
                <w:szCs w:val="22"/>
                <w:lang w:val="fr-BE"/>
              </w:rPr>
            </w:pPr>
          </w:p>
          <w:p w14:paraId="6E3777B0" w14:textId="77777777" w:rsidR="00B438FE" w:rsidRDefault="00B438FE" w:rsidP="005C38B1">
            <w:pPr>
              <w:spacing w:line="276" w:lineRule="auto"/>
              <w:jc w:val="both"/>
              <w:rPr>
                <w:rFonts w:ascii="Arial" w:hAnsi="Arial" w:cs="Arial"/>
                <w:sz w:val="22"/>
                <w:szCs w:val="22"/>
                <w:lang w:val="fr-BE"/>
              </w:rPr>
            </w:pPr>
          </w:p>
          <w:p w14:paraId="0AB16DAE" w14:textId="77777777" w:rsidR="001B4B05" w:rsidRPr="00A46476" w:rsidRDefault="001B4B05" w:rsidP="001B4B05">
            <w:pPr>
              <w:spacing w:line="276" w:lineRule="auto"/>
              <w:jc w:val="both"/>
              <w:rPr>
                <w:rFonts w:ascii="Arial" w:hAnsi="Arial" w:cs="Arial"/>
                <w:sz w:val="22"/>
                <w:szCs w:val="22"/>
                <w:lang w:val="fr-BE"/>
              </w:rPr>
            </w:pPr>
            <w:r w:rsidRPr="00A46476">
              <w:rPr>
                <w:rFonts w:ascii="Arial" w:hAnsi="Arial" w:cs="Arial"/>
                <w:sz w:val="22"/>
                <w:szCs w:val="22"/>
                <w:lang w:val="fr-BE"/>
              </w:rPr>
              <w:lastRenderedPageBreak/>
              <w:t>2.</w:t>
            </w:r>
          </w:p>
          <w:p w14:paraId="24AFEAC1" w14:textId="65F2DE72" w:rsidR="005C38B1" w:rsidRPr="005C38B1" w:rsidRDefault="00027773" w:rsidP="0085382D">
            <w:pPr>
              <w:spacing w:line="276" w:lineRule="auto"/>
              <w:jc w:val="both"/>
              <w:rPr>
                <w:rFonts w:ascii="Arial" w:hAnsi="Arial" w:cs="Arial"/>
                <w:sz w:val="22"/>
                <w:szCs w:val="22"/>
                <w:lang w:val="fr-BE"/>
              </w:rPr>
            </w:pPr>
            <w:r>
              <w:rPr>
                <w:rFonts w:ascii="Arial" w:hAnsi="Arial" w:cs="Arial"/>
                <w:sz w:val="22"/>
                <w:szCs w:val="22"/>
                <w:lang w:val="fr-BE"/>
              </w:rPr>
              <w:t>Les</w:t>
            </w:r>
            <w:r w:rsidR="005C38B1" w:rsidRPr="005C38B1">
              <w:rPr>
                <w:rFonts w:ascii="Arial" w:hAnsi="Arial" w:cs="Arial"/>
                <w:sz w:val="22"/>
                <w:szCs w:val="22"/>
                <w:lang w:val="fr-BE"/>
              </w:rPr>
              <w:t xml:space="preserve"> variables disponibles dans la BNG</w:t>
            </w:r>
            <w:r>
              <w:rPr>
                <w:rFonts w:ascii="Arial" w:hAnsi="Arial" w:cs="Arial"/>
                <w:sz w:val="22"/>
                <w:szCs w:val="22"/>
                <w:lang w:val="fr-BE"/>
              </w:rPr>
              <w:t xml:space="preserve"> ne permettent pas</w:t>
            </w:r>
            <w:r w:rsidR="005C38B1" w:rsidRPr="005C38B1">
              <w:rPr>
                <w:rFonts w:ascii="Arial" w:hAnsi="Arial" w:cs="Arial"/>
                <w:sz w:val="22"/>
                <w:szCs w:val="22"/>
                <w:lang w:val="fr-BE"/>
              </w:rPr>
              <w:t xml:space="preserve"> de déterminer si des faits criminels sont également associés à la criminalité liée à la drogue. Le contexte permettant de préciser si certains délits sont commis dans le cadre de la drogue (par exemple des vols commis pour pouvoir s’acheter de la drogue) n’est</w:t>
            </w:r>
            <w:r w:rsidR="0085382D">
              <w:rPr>
                <w:rFonts w:ascii="Arial" w:hAnsi="Arial" w:cs="Arial"/>
                <w:sz w:val="22"/>
                <w:szCs w:val="22"/>
                <w:lang w:val="fr-BE"/>
              </w:rPr>
              <w:t xml:space="preserve"> en effet</w:t>
            </w:r>
            <w:r w:rsidR="005C38B1" w:rsidRPr="005C38B1">
              <w:rPr>
                <w:rFonts w:ascii="Arial" w:hAnsi="Arial" w:cs="Arial"/>
                <w:sz w:val="22"/>
                <w:szCs w:val="22"/>
                <w:lang w:val="fr-BE"/>
              </w:rPr>
              <w:t xml:space="preserve"> pas présent</w:t>
            </w:r>
            <w:r w:rsidR="0085382D">
              <w:rPr>
                <w:rFonts w:ascii="Arial" w:hAnsi="Arial" w:cs="Arial"/>
                <w:sz w:val="22"/>
                <w:szCs w:val="22"/>
                <w:lang w:val="fr-BE"/>
              </w:rPr>
              <w:t xml:space="preserve"> en tant que variable statistique </w:t>
            </w:r>
            <w:r w:rsidR="00A46476">
              <w:rPr>
                <w:rFonts w:ascii="Arial" w:hAnsi="Arial" w:cs="Arial"/>
                <w:sz w:val="22"/>
                <w:szCs w:val="22"/>
                <w:lang w:val="fr-BE"/>
              </w:rPr>
              <w:t xml:space="preserve">autorisant à </w:t>
            </w:r>
            <w:r w:rsidR="0085382D">
              <w:rPr>
                <w:rFonts w:ascii="Arial" w:hAnsi="Arial" w:cs="Arial"/>
                <w:sz w:val="22"/>
                <w:szCs w:val="22"/>
                <w:lang w:val="fr-BE"/>
              </w:rPr>
              <w:t>extraire ces informations de manière structurée et exhaustive de la banque de données.</w:t>
            </w:r>
          </w:p>
          <w:p w14:paraId="1786AD38" w14:textId="77777777" w:rsidR="005C38B1" w:rsidRPr="005C38B1" w:rsidRDefault="005C38B1" w:rsidP="005C38B1">
            <w:pPr>
              <w:spacing w:line="276" w:lineRule="auto"/>
              <w:jc w:val="both"/>
              <w:rPr>
                <w:rFonts w:ascii="Arial" w:hAnsi="Arial" w:cs="Arial"/>
                <w:sz w:val="22"/>
                <w:szCs w:val="22"/>
                <w:lang w:val="fr-BE"/>
              </w:rPr>
            </w:pPr>
          </w:p>
          <w:p w14:paraId="6D54EC88" w14:textId="77777777" w:rsidR="001B4B05" w:rsidRPr="003746F6" w:rsidRDefault="001B4B05" w:rsidP="001B4B05">
            <w:pPr>
              <w:spacing w:line="276" w:lineRule="auto"/>
              <w:jc w:val="both"/>
              <w:rPr>
                <w:rFonts w:ascii="Arial" w:hAnsi="Arial" w:cs="Arial"/>
                <w:sz w:val="22"/>
                <w:szCs w:val="22"/>
                <w:lang w:val="fr-BE"/>
              </w:rPr>
            </w:pPr>
            <w:r w:rsidRPr="003746F6">
              <w:rPr>
                <w:rFonts w:ascii="Arial" w:hAnsi="Arial" w:cs="Arial"/>
                <w:sz w:val="22"/>
                <w:szCs w:val="22"/>
                <w:lang w:val="fr-BE"/>
              </w:rPr>
              <w:t>3.</w:t>
            </w:r>
          </w:p>
          <w:p w14:paraId="673FCF44" w14:textId="728D2999" w:rsidR="005C38B1" w:rsidRPr="003746F6" w:rsidRDefault="00027773" w:rsidP="005C38B1">
            <w:pPr>
              <w:spacing w:line="276" w:lineRule="auto"/>
              <w:jc w:val="both"/>
              <w:rPr>
                <w:rFonts w:ascii="Arial" w:hAnsi="Arial" w:cs="Arial"/>
                <w:sz w:val="22"/>
                <w:szCs w:val="22"/>
                <w:lang w:val="fr-BE"/>
              </w:rPr>
            </w:pPr>
            <w:r>
              <w:rPr>
                <w:rFonts w:ascii="Arial" w:hAnsi="Arial" w:cs="Arial"/>
                <w:sz w:val="22"/>
                <w:szCs w:val="22"/>
                <w:lang w:val="fr-BE"/>
              </w:rPr>
              <w:t>L</w:t>
            </w:r>
            <w:r w:rsidR="003746F6" w:rsidRPr="003746F6">
              <w:rPr>
                <w:rFonts w:ascii="Arial" w:hAnsi="Arial" w:cs="Arial"/>
                <w:sz w:val="22"/>
                <w:szCs w:val="22"/>
                <w:lang w:val="fr-BE"/>
              </w:rPr>
              <w:t>es variables disponibles dans la BNG</w:t>
            </w:r>
            <w:r>
              <w:rPr>
                <w:rFonts w:ascii="Arial" w:hAnsi="Arial" w:cs="Arial"/>
                <w:sz w:val="22"/>
                <w:szCs w:val="22"/>
                <w:lang w:val="fr-BE"/>
              </w:rPr>
              <w:t xml:space="preserve"> ne permettent pas</w:t>
            </w:r>
            <w:r w:rsidR="003746F6" w:rsidRPr="003746F6">
              <w:rPr>
                <w:rFonts w:ascii="Arial" w:hAnsi="Arial" w:cs="Arial"/>
                <w:sz w:val="22"/>
                <w:szCs w:val="22"/>
                <w:lang w:val="fr-BE"/>
              </w:rPr>
              <w:t xml:space="preserve"> de déterminer si</w:t>
            </w:r>
            <w:r w:rsidR="005C38B1" w:rsidRPr="003746F6">
              <w:rPr>
                <w:rFonts w:ascii="Arial" w:hAnsi="Arial" w:cs="Arial"/>
                <w:sz w:val="22"/>
                <w:szCs w:val="22"/>
                <w:lang w:val="fr-BE"/>
              </w:rPr>
              <w:t xml:space="preserve"> </w:t>
            </w:r>
            <w:r w:rsidR="003746F6" w:rsidRPr="003746F6">
              <w:rPr>
                <w:rFonts w:ascii="Arial" w:hAnsi="Arial" w:cs="Arial"/>
                <w:sz w:val="22"/>
                <w:szCs w:val="22"/>
                <w:lang w:val="fr-BE"/>
              </w:rPr>
              <w:t xml:space="preserve">des décès ont été enregistrés </w:t>
            </w:r>
            <w:r w:rsidR="000E6B40">
              <w:rPr>
                <w:rFonts w:ascii="Arial" w:hAnsi="Arial" w:cs="Arial"/>
                <w:sz w:val="22"/>
                <w:szCs w:val="22"/>
                <w:lang w:val="fr-BE"/>
              </w:rPr>
              <w:t>à la suite de</w:t>
            </w:r>
            <w:r w:rsidR="003746F6">
              <w:rPr>
                <w:rFonts w:ascii="Arial" w:hAnsi="Arial" w:cs="Arial"/>
                <w:sz w:val="22"/>
                <w:szCs w:val="22"/>
                <w:lang w:val="fr-BE"/>
              </w:rPr>
              <w:br/>
            </w:r>
            <w:r w:rsidR="003746F6" w:rsidRPr="003746F6">
              <w:rPr>
                <w:rFonts w:ascii="Arial" w:hAnsi="Arial" w:cs="Arial"/>
                <w:sz w:val="22"/>
                <w:szCs w:val="22"/>
                <w:lang w:val="fr-BE"/>
              </w:rPr>
              <w:t>ces délits.</w:t>
            </w:r>
          </w:p>
          <w:p w14:paraId="48D007DE" w14:textId="77777777" w:rsidR="001B4B05" w:rsidRPr="003746F6" w:rsidRDefault="001B4B05" w:rsidP="00A413CF">
            <w:pPr>
              <w:spacing w:line="276" w:lineRule="auto"/>
              <w:jc w:val="both"/>
              <w:rPr>
                <w:rFonts w:ascii="Arial" w:hAnsi="Arial" w:cs="Arial"/>
                <w:sz w:val="22"/>
                <w:szCs w:val="22"/>
                <w:lang w:val="fr-BE"/>
              </w:rPr>
            </w:pPr>
          </w:p>
          <w:p w14:paraId="146AE24C" w14:textId="6FC9BB50" w:rsidR="005C38B1" w:rsidRPr="008B3295" w:rsidRDefault="005C38B1" w:rsidP="005C38B1">
            <w:pPr>
              <w:spacing w:line="276" w:lineRule="auto"/>
              <w:jc w:val="both"/>
              <w:rPr>
                <w:rFonts w:ascii="Arial" w:hAnsi="Arial" w:cs="Arial"/>
                <w:sz w:val="22"/>
                <w:szCs w:val="22"/>
                <w:lang w:val="fr-BE"/>
              </w:rPr>
            </w:pPr>
            <w:r w:rsidRPr="008B3295">
              <w:rPr>
                <w:rFonts w:ascii="Arial" w:hAnsi="Arial" w:cs="Arial"/>
                <w:sz w:val="22"/>
                <w:szCs w:val="22"/>
                <w:lang w:val="fr-BE"/>
              </w:rPr>
              <w:t>4.</w:t>
            </w:r>
          </w:p>
          <w:p w14:paraId="63782BEA" w14:textId="6368B482" w:rsidR="005C38B1" w:rsidRPr="003746F6" w:rsidRDefault="003746F6" w:rsidP="005C38B1">
            <w:pPr>
              <w:spacing w:line="276" w:lineRule="auto"/>
              <w:jc w:val="both"/>
              <w:rPr>
                <w:rFonts w:ascii="Arial" w:hAnsi="Arial" w:cs="Arial"/>
                <w:sz w:val="22"/>
                <w:szCs w:val="22"/>
                <w:lang w:val="fr-BE"/>
              </w:rPr>
            </w:pPr>
            <w:r w:rsidRPr="003746F6">
              <w:rPr>
                <w:rFonts w:ascii="Arial" w:hAnsi="Arial" w:cs="Arial"/>
                <w:sz w:val="22"/>
                <w:szCs w:val="22"/>
                <w:lang w:val="fr-BE"/>
              </w:rPr>
              <w:t>Les données relatives aux poursuites</w:t>
            </w:r>
            <w:r w:rsidR="000E6B40">
              <w:rPr>
                <w:rFonts w:ascii="Arial" w:hAnsi="Arial" w:cs="Arial"/>
                <w:sz w:val="22"/>
                <w:szCs w:val="22"/>
                <w:lang w:val="fr-BE"/>
              </w:rPr>
              <w:t xml:space="preserve"> judiciaires</w:t>
            </w:r>
            <w:r w:rsidRPr="003746F6">
              <w:rPr>
                <w:rFonts w:ascii="Arial" w:hAnsi="Arial" w:cs="Arial"/>
                <w:sz w:val="22"/>
                <w:szCs w:val="22"/>
                <w:lang w:val="fr-BE"/>
              </w:rPr>
              <w:t xml:space="preserve"> relèvent de la </w:t>
            </w:r>
            <w:r>
              <w:rPr>
                <w:rFonts w:ascii="Arial" w:hAnsi="Arial" w:cs="Arial"/>
                <w:sz w:val="22"/>
                <w:szCs w:val="22"/>
                <w:lang w:val="fr-BE"/>
              </w:rPr>
              <w:t>compétence</w:t>
            </w:r>
            <w:r w:rsidRPr="003746F6">
              <w:rPr>
                <w:rFonts w:ascii="Arial" w:hAnsi="Arial" w:cs="Arial"/>
                <w:sz w:val="22"/>
                <w:szCs w:val="22"/>
                <w:lang w:val="fr-BE"/>
              </w:rPr>
              <w:t xml:space="preserve"> du ministre de la Justice.</w:t>
            </w:r>
          </w:p>
          <w:p w14:paraId="7B0909D2" w14:textId="77777777" w:rsidR="0089199E" w:rsidRPr="003746F6" w:rsidRDefault="0089199E" w:rsidP="005C38B1">
            <w:pPr>
              <w:spacing w:line="276" w:lineRule="auto"/>
              <w:jc w:val="both"/>
              <w:rPr>
                <w:rFonts w:ascii="Arial" w:hAnsi="Arial" w:cs="Arial"/>
                <w:sz w:val="22"/>
                <w:szCs w:val="22"/>
                <w:lang w:val="fr-BE"/>
              </w:rPr>
            </w:pPr>
          </w:p>
          <w:p w14:paraId="7FDFCAB0" w14:textId="77777777" w:rsidR="005C38B1" w:rsidRPr="008B3295" w:rsidRDefault="005C38B1" w:rsidP="005C38B1">
            <w:pPr>
              <w:spacing w:line="276" w:lineRule="auto"/>
              <w:jc w:val="both"/>
              <w:rPr>
                <w:rFonts w:ascii="Arial" w:hAnsi="Arial" w:cs="Arial"/>
                <w:sz w:val="22"/>
                <w:szCs w:val="22"/>
                <w:lang w:val="fr-BE"/>
              </w:rPr>
            </w:pPr>
            <w:r w:rsidRPr="008B3295">
              <w:rPr>
                <w:rFonts w:ascii="Arial" w:hAnsi="Arial" w:cs="Arial"/>
                <w:sz w:val="22"/>
                <w:szCs w:val="22"/>
                <w:lang w:val="fr-BE"/>
              </w:rPr>
              <w:t>5.</w:t>
            </w:r>
          </w:p>
          <w:p w14:paraId="476FC30A" w14:textId="3067BB12" w:rsidR="005C38B1" w:rsidRPr="008B3295" w:rsidRDefault="003746F6" w:rsidP="005C38B1">
            <w:pPr>
              <w:spacing w:line="276" w:lineRule="auto"/>
              <w:jc w:val="both"/>
              <w:rPr>
                <w:rFonts w:ascii="Arial" w:hAnsi="Arial" w:cs="Arial"/>
                <w:sz w:val="22"/>
                <w:szCs w:val="22"/>
                <w:lang w:val="fr-BE"/>
              </w:rPr>
            </w:pPr>
            <w:r w:rsidRPr="003746F6">
              <w:rPr>
                <w:rFonts w:ascii="Arial" w:hAnsi="Arial" w:cs="Arial"/>
                <w:sz w:val="22"/>
                <w:szCs w:val="22"/>
                <w:lang w:val="fr-BE"/>
              </w:rPr>
              <w:t>L</w:t>
            </w:r>
            <w:r w:rsidR="005C38B1" w:rsidRPr="003746F6">
              <w:rPr>
                <w:rFonts w:ascii="Arial" w:hAnsi="Arial" w:cs="Arial"/>
                <w:sz w:val="22"/>
                <w:szCs w:val="22"/>
                <w:lang w:val="fr-BE"/>
              </w:rPr>
              <w:t xml:space="preserve">e </w:t>
            </w:r>
            <w:r w:rsidRPr="003746F6">
              <w:rPr>
                <w:rFonts w:ascii="Arial" w:hAnsi="Arial" w:cs="Arial"/>
                <w:sz w:val="22"/>
                <w:szCs w:val="22"/>
                <w:lang w:val="fr-BE"/>
              </w:rPr>
              <w:t xml:space="preserve">second tableau en annexe </w:t>
            </w:r>
            <w:r w:rsidR="000E6B40">
              <w:rPr>
                <w:rFonts w:ascii="Arial" w:hAnsi="Arial" w:cs="Arial"/>
                <w:sz w:val="22"/>
                <w:szCs w:val="22"/>
                <w:lang w:val="fr-BE"/>
              </w:rPr>
              <w:t>com</w:t>
            </w:r>
            <w:r w:rsidRPr="003746F6">
              <w:rPr>
                <w:rFonts w:ascii="Arial" w:hAnsi="Arial" w:cs="Arial"/>
                <w:sz w:val="22"/>
                <w:szCs w:val="22"/>
                <w:lang w:val="fr-BE"/>
              </w:rPr>
              <w:t>prend le nombre d’infractions enregistrées relatives à la catégorie principale «</w:t>
            </w:r>
            <w:r w:rsidR="004956B5">
              <w:rPr>
                <w:rFonts w:ascii="Arial" w:hAnsi="Arial" w:cs="Arial"/>
                <w:sz w:val="22"/>
                <w:szCs w:val="22"/>
                <w:lang w:val="fr-BE"/>
              </w:rPr>
              <w:t> </w:t>
            </w:r>
            <w:r w:rsidRPr="003746F6">
              <w:rPr>
                <w:rFonts w:ascii="Arial" w:hAnsi="Arial" w:cs="Arial"/>
                <w:sz w:val="22"/>
                <w:szCs w:val="22"/>
                <w:lang w:val="fr-BE"/>
              </w:rPr>
              <w:t>Drogues</w:t>
            </w:r>
            <w:r w:rsidR="004956B5">
              <w:rPr>
                <w:rFonts w:ascii="Arial" w:hAnsi="Arial" w:cs="Arial"/>
                <w:sz w:val="22"/>
                <w:szCs w:val="22"/>
                <w:lang w:val="fr-BE"/>
              </w:rPr>
              <w:t> </w:t>
            </w:r>
            <w:r w:rsidRPr="003746F6">
              <w:rPr>
                <w:rFonts w:ascii="Arial" w:hAnsi="Arial" w:cs="Arial"/>
                <w:sz w:val="22"/>
                <w:szCs w:val="22"/>
                <w:lang w:val="fr-BE"/>
              </w:rPr>
              <w:t xml:space="preserve">», réparties par classe, au niveau national.  </w:t>
            </w:r>
            <w:r w:rsidR="005C38B1" w:rsidRPr="003746F6">
              <w:rPr>
                <w:rFonts w:ascii="Arial" w:hAnsi="Arial" w:cs="Arial"/>
                <w:sz w:val="22"/>
                <w:szCs w:val="22"/>
                <w:lang w:val="fr-BE"/>
              </w:rPr>
              <w:t xml:space="preserve"> </w:t>
            </w:r>
          </w:p>
          <w:p w14:paraId="259A2F46" w14:textId="77777777" w:rsidR="005C38B1" w:rsidRPr="008B3295" w:rsidRDefault="005C38B1" w:rsidP="005C38B1">
            <w:pPr>
              <w:spacing w:line="276" w:lineRule="auto"/>
              <w:jc w:val="both"/>
              <w:rPr>
                <w:rFonts w:ascii="Arial" w:hAnsi="Arial" w:cs="Arial"/>
                <w:sz w:val="22"/>
                <w:szCs w:val="22"/>
                <w:lang w:val="fr-BE"/>
              </w:rPr>
            </w:pPr>
          </w:p>
          <w:p w14:paraId="271465B3" w14:textId="77777777" w:rsidR="005C38B1" w:rsidRPr="008B3295" w:rsidRDefault="005C38B1" w:rsidP="005C38B1">
            <w:pPr>
              <w:spacing w:line="276" w:lineRule="auto"/>
              <w:jc w:val="both"/>
              <w:rPr>
                <w:rFonts w:ascii="Arial" w:hAnsi="Arial" w:cs="Arial"/>
                <w:sz w:val="22"/>
                <w:szCs w:val="22"/>
                <w:lang w:val="fr-BE"/>
              </w:rPr>
            </w:pPr>
            <w:r w:rsidRPr="008B3295">
              <w:rPr>
                <w:rFonts w:ascii="Arial" w:hAnsi="Arial" w:cs="Arial"/>
                <w:sz w:val="22"/>
                <w:szCs w:val="22"/>
                <w:lang w:val="fr-BE"/>
              </w:rPr>
              <w:t>6.</w:t>
            </w:r>
          </w:p>
          <w:p w14:paraId="548E52A0" w14:textId="16807756" w:rsidR="005C38B1" w:rsidRPr="003746F6" w:rsidRDefault="003746F6" w:rsidP="005C38B1">
            <w:pPr>
              <w:spacing w:line="276" w:lineRule="auto"/>
              <w:jc w:val="both"/>
              <w:rPr>
                <w:rFonts w:ascii="Arial" w:hAnsi="Arial" w:cs="Arial"/>
                <w:sz w:val="22"/>
                <w:szCs w:val="22"/>
                <w:lang w:val="fr-BE"/>
              </w:rPr>
            </w:pPr>
            <w:r w:rsidRPr="003746F6">
              <w:rPr>
                <w:rFonts w:ascii="Arial" w:hAnsi="Arial" w:cs="Arial"/>
                <w:sz w:val="22"/>
                <w:szCs w:val="22"/>
                <w:lang w:val="fr-BE"/>
              </w:rPr>
              <w:t>L</w:t>
            </w:r>
            <w:r w:rsidR="005C38B1" w:rsidRPr="003746F6">
              <w:rPr>
                <w:rFonts w:ascii="Arial" w:hAnsi="Arial" w:cs="Arial"/>
                <w:sz w:val="22"/>
                <w:szCs w:val="22"/>
                <w:lang w:val="fr-BE"/>
              </w:rPr>
              <w:t xml:space="preserve">e </w:t>
            </w:r>
            <w:r w:rsidRPr="003746F6">
              <w:rPr>
                <w:rFonts w:ascii="Arial" w:hAnsi="Arial" w:cs="Arial"/>
                <w:sz w:val="22"/>
                <w:szCs w:val="22"/>
                <w:lang w:val="fr-BE"/>
              </w:rPr>
              <w:t>troisième</w:t>
            </w:r>
            <w:r w:rsidR="005C38B1" w:rsidRPr="003746F6">
              <w:rPr>
                <w:rFonts w:ascii="Arial" w:hAnsi="Arial" w:cs="Arial"/>
                <w:sz w:val="22"/>
                <w:szCs w:val="22"/>
                <w:lang w:val="fr-BE"/>
              </w:rPr>
              <w:t xml:space="preserve"> </w:t>
            </w:r>
            <w:r w:rsidRPr="003746F6">
              <w:rPr>
                <w:rFonts w:ascii="Arial" w:hAnsi="Arial" w:cs="Arial"/>
                <w:sz w:val="22"/>
                <w:szCs w:val="22"/>
                <w:lang w:val="fr-BE"/>
              </w:rPr>
              <w:t xml:space="preserve">tableau en annexe </w:t>
            </w:r>
            <w:r w:rsidR="004956B5">
              <w:rPr>
                <w:rFonts w:ascii="Arial" w:hAnsi="Arial" w:cs="Arial"/>
                <w:sz w:val="22"/>
                <w:szCs w:val="22"/>
                <w:lang w:val="fr-BE"/>
              </w:rPr>
              <w:t>com</w:t>
            </w:r>
            <w:r w:rsidRPr="003746F6">
              <w:rPr>
                <w:rFonts w:ascii="Arial" w:hAnsi="Arial" w:cs="Arial"/>
                <w:sz w:val="22"/>
                <w:szCs w:val="22"/>
                <w:lang w:val="fr-BE"/>
              </w:rPr>
              <w:t>prend le nombre d’infractions enregistrées relatives à la catégorie principale «</w:t>
            </w:r>
            <w:r w:rsidR="004956B5">
              <w:rPr>
                <w:rFonts w:ascii="Arial" w:hAnsi="Arial" w:cs="Arial"/>
                <w:sz w:val="22"/>
                <w:szCs w:val="22"/>
                <w:lang w:val="fr-BE"/>
              </w:rPr>
              <w:t> </w:t>
            </w:r>
            <w:r w:rsidRPr="003746F6">
              <w:rPr>
                <w:rFonts w:ascii="Arial" w:hAnsi="Arial" w:cs="Arial"/>
                <w:sz w:val="22"/>
                <w:szCs w:val="22"/>
                <w:lang w:val="fr-BE"/>
              </w:rPr>
              <w:t>Drogues</w:t>
            </w:r>
            <w:r w:rsidR="004956B5">
              <w:rPr>
                <w:rFonts w:ascii="Arial" w:hAnsi="Arial" w:cs="Arial"/>
                <w:sz w:val="22"/>
                <w:szCs w:val="22"/>
                <w:lang w:val="fr-BE"/>
              </w:rPr>
              <w:t> </w:t>
            </w:r>
            <w:r w:rsidRPr="003746F6">
              <w:rPr>
                <w:rFonts w:ascii="Arial" w:hAnsi="Arial" w:cs="Arial"/>
                <w:sz w:val="22"/>
                <w:szCs w:val="22"/>
                <w:lang w:val="fr-BE"/>
              </w:rPr>
              <w:t>»,</w:t>
            </w:r>
            <w:r>
              <w:rPr>
                <w:rFonts w:ascii="Arial" w:hAnsi="Arial" w:cs="Arial"/>
                <w:sz w:val="22"/>
                <w:szCs w:val="22"/>
                <w:lang w:val="fr-BE"/>
              </w:rPr>
              <w:t xml:space="preserve"> suivant une répartition par nationalité du suspect enregistrée</w:t>
            </w:r>
            <w:r w:rsidR="00F4131D">
              <w:rPr>
                <w:rFonts w:ascii="Arial" w:hAnsi="Arial" w:cs="Arial"/>
                <w:sz w:val="22"/>
                <w:szCs w:val="22"/>
                <w:lang w:val="fr-BE"/>
              </w:rPr>
              <w:t xml:space="preserve"> (top 10</w:t>
            </w:r>
            <w:r w:rsidR="000A6DED">
              <w:rPr>
                <w:rFonts w:ascii="Arial" w:hAnsi="Arial" w:cs="Arial"/>
                <w:sz w:val="22"/>
                <w:szCs w:val="22"/>
                <w:lang w:val="fr-BE"/>
              </w:rPr>
              <w:t xml:space="preserve"> des</w:t>
            </w:r>
            <w:r w:rsidR="00F4131D">
              <w:rPr>
                <w:rFonts w:ascii="Arial" w:hAnsi="Arial" w:cs="Arial"/>
                <w:sz w:val="22"/>
                <w:szCs w:val="22"/>
                <w:lang w:val="fr-BE"/>
              </w:rPr>
              <w:t xml:space="preserve"> nationalités), au niveau national.</w:t>
            </w:r>
            <w:r w:rsidR="005C38B1" w:rsidRPr="003746F6">
              <w:rPr>
                <w:rFonts w:ascii="Arial" w:hAnsi="Arial" w:cs="Arial"/>
                <w:sz w:val="22"/>
                <w:szCs w:val="22"/>
                <w:lang w:val="fr-BE"/>
              </w:rPr>
              <w:t xml:space="preserve"> </w:t>
            </w:r>
          </w:p>
          <w:p w14:paraId="1D72E52C" w14:textId="7304B2B7" w:rsidR="00A413CF" w:rsidRPr="003746F6" w:rsidRDefault="00A413CF" w:rsidP="005229F3">
            <w:pPr>
              <w:spacing w:line="276" w:lineRule="auto"/>
              <w:jc w:val="both"/>
              <w:rPr>
                <w:rFonts w:ascii="Arial" w:hAnsi="Arial" w:cs="Arial"/>
                <w:sz w:val="22"/>
                <w:szCs w:val="22"/>
                <w:lang w:val="fr-BE"/>
              </w:rPr>
            </w:pPr>
          </w:p>
        </w:tc>
      </w:tr>
    </w:tbl>
    <w:p w14:paraId="1EEAC59D" w14:textId="77777777" w:rsidR="008A7E45" w:rsidRPr="003746F6" w:rsidRDefault="008A7E45" w:rsidP="008A7E45">
      <w:pPr>
        <w:spacing w:before="840"/>
        <w:rPr>
          <w:rFonts w:ascii="Arial" w:hAnsi="Arial" w:cs="Arial"/>
          <w:sz w:val="22"/>
          <w:szCs w:val="22"/>
          <w:lang w:val="fr-BE"/>
        </w:rPr>
      </w:pPr>
    </w:p>
    <w:p w14:paraId="2FABE49D" w14:textId="77777777" w:rsidR="008A7E45" w:rsidRPr="00BF2561" w:rsidRDefault="00BC50AD" w:rsidP="00782A6B">
      <w:pPr>
        <w:jc w:val="center"/>
        <w:rPr>
          <w:rFonts w:ascii="Arial" w:hAnsi="Arial" w:cs="Arial"/>
          <w:sz w:val="22"/>
          <w:szCs w:val="22"/>
          <w:lang w:val="fr-BE"/>
        </w:rPr>
      </w:pPr>
      <w:r>
        <w:rPr>
          <w:rFonts w:ascii="Arial" w:hAnsi="Arial" w:cs="Arial"/>
          <w:sz w:val="22"/>
          <w:szCs w:val="22"/>
          <w:lang w:val="fr-BE"/>
        </w:rPr>
        <w:t>Annelies VERLINDEN</w:t>
      </w:r>
    </w:p>
    <w:p w14:paraId="706E26EF" w14:textId="77777777" w:rsidR="008A7E45" w:rsidRDefault="008A7E45" w:rsidP="008A7E45"/>
    <w:p w14:paraId="4CD89F1A" w14:textId="77777777" w:rsidR="008A7E45" w:rsidRDefault="008A7E45" w:rsidP="008A7E45"/>
    <w:p w14:paraId="2D5C8116" w14:textId="77777777" w:rsidR="005A6150" w:rsidRDefault="005A6150"/>
    <w:sectPr w:rsidR="005A615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874D" w14:textId="77777777" w:rsidR="00274B7E" w:rsidRDefault="00274B7E" w:rsidP="004428EC">
      <w:r>
        <w:separator/>
      </w:r>
    </w:p>
  </w:endnote>
  <w:endnote w:type="continuationSeparator" w:id="0">
    <w:p w14:paraId="1EB523EB" w14:textId="77777777" w:rsidR="00274B7E" w:rsidRDefault="00274B7E" w:rsidP="004428EC">
      <w:r>
        <w:continuationSeparator/>
      </w:r>
    </w:p>
  </w:endnote>
  <w:endnote w:type="continuationNotice" w:id="1">
    <w:p w14:paraId="11405B61" w14:textId="77777777" w:rsidR="00274B7E" w:rsidRDefault="00274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79D5D" w14:textId="77777777" w:rsidR="00274B7E" w:rsidRDefault="00274B7E" w:rsidP="004428EC">
      <w:r>
        <w:separator/>
      </w:r>
    </w:p>
  </w:footnote>
  <w:footnote w:type="continuationSeparator" w:id="0">
    <w:p w14:paraId="210AEC5C" w14:textId="77777777" w:rsidR="00274B7E" w:rsidRDefault="00274B7E" w:rsidP="004428EC">
      <w:r>
        <w:continuationSeparator/>
      </w:r>
    </w:p>
  </w:footnote>
  <w:footnote w:type="continuationNotice" w:id="1">
    <w:p w14:paraId="78DD3786" w14:textId="77777777" w:rsidR="00274B7E" w:rsidRDefault="00274B7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E45"/>
    <w:rsid w:val="00020C45"/>
    <w:rsid w:val="00027773"/>
    <w:rsid w:val="0005737D"/>
    <w:rsid w:val="00091C33"/>
    <w:rsid w:val="000A5860"/>
    <w:rsid w:val="000A6DED"/>
    <w:rsid w:val="000C43C7"/>
    <w:rsid w:val="000D3747"/>
    <w:rsid w:val="000E2C03"/>
    <w:rsid w:val="000E6B40"/>
    <w:rsid w:val="000F0A7E"/>
    <w:rsid w:val="001134C5"/>
    <w:rsid w:val="001151A3"/>
    <w:rsid w:val="0012689E"/>
    <w:rsid w:val="00154DB8"/>
    <w:rsid w:val="00196F6D"/>
    <w:rsid w:val="001B4B05"/>
    <w:rsid w:val="001E3262"/>
    <w:rsid w:val="001E6275"/>
    <w:rsid w:val="001F78EE"/>
    <w:rsid w:val="002442A7"/>
    <w:rsid w:val="002447AD"/>
    <w:rsid w:val="00270929"/>
    <w:rsid w:val="00274B7E"/>
    <w:rsid w:val="00280213"/>
    <w:rsid w:val="0028061C"/>
    <w:rsid w:val="002B75E4"/>
    <w:rsid w:val="002B7E74"/>
    <w:rsid w:val="002D072C"/>
    <w:rsid w:val="002E6D61"/>
    <w:rsid w:val="00315B58"/>
    <w:rsid w:val="00333579"/>
    <w:rsid w:val="003439F3"/>
    <w:rsid w:val="0034655D"/>
    <w:rsid w:val="00353480"/>
    <w:rsid w:val="00367775"/>
    <w:rsid w:val="0037360B"/>
    <w:rsid w:val="003746F6"/>
    <w:rsid w:val="00401F72"/>
    <w:rsid w:val="0043328F"/>
    <w:rsid w:val="004362B7"/>
    <w:rsid w:val="004428EC"/>
    <w:rsid w:val="00451A1D"/>
    <w:rsid w:val="00453B92"/>
    <w:rsid w:val="0045645F"/>
    <w:rsid w:val="0046305D"/>
    <w:rsid w:val="004956B5"/>
    <w:rsid w:val="004C5A8A"/>
    <w:rsid w:val="004D118C"/>
    <w:rsid w:val="00522816"/>
    <w:rsid w:val="005229F3"/>
    <w:rsid w:val="00533C39"/>
    <w:rsid w:val="005A6150"/>
    <w:rsid w:val="005C38B1"/>
    <w:rsid w:val="005D0922"/>
    <w:rsid w:val="005F307F"/>
    <w:rsid w:val="00650108"/>
    <w:rsid w:val="006662AB"/>
    <w:rsid w:val="00667B4E"/>
    <w:rsid w:val="006701D0"/>
    <w:rsid w:val="006B354E"/>
    <w:rsid w:val="006D402B"/>
    <w:rsid w:val="006F0EE0"/>
    <w:rsid w:val="006F63D5"/>
    <w:rsid w:val="006F67AB"/>
    <w:rsid w:val="007039FB"/>
    <w:rsid w:val="00704FB9"/>
    <w:rsid w:val="007212D5"/>
    <w:rsid w:val="00727832"/>
    <w:rsid w:val="00740821"/>
    <w:rsid w:val="00747143"/>
    <w:rsid w:val="00772C5C"/>
    <w:rsid w:val="00782A6B"/>
    <w:rsid w:val="007A76BB"/>
    <w:rsid w:val="007C01AF"/>
    <w:rsid w:val="007C4865"/>
    <w:rsid w:val="007D4CD8"/>
    <w:rsid w:val="0080167D"/>
    <w:rsid w:val="008237F1"/>
    <w:rsid w:val="00844D6A"/>
    <w:rsid w:val="008452CB"/>
    <w:rsid w:val="0085382D"/>
    <w:rsid w:val="00877074"/>
    <w:rsid w:val="0089199E"/>
    <w:rsid w:val="00892698"/>
    <w:rsid w:val="008A220B"/>
    <w:rsid w:val="008A7E45"/>
    <w:rsid w:val="008B3295"/>
    <w:rsid w:val="008B3DDC"/>
    <w:rsid w:val="008C6D56"/>
    <w:rsid w:val="008E348C"/>
    <w:rsid w:val="0090126B"/>
    <w:rsid w:val="0092527F"/>
    <w:rsid w:val="00927D9C"/>
    <w:rsid w:val="009661CE"/>
    <w:rsid w:val="00992CDA"/>
    <w:rsid w:val="009937C9"/>
    <w:rsid w:val="009B3794"/>
    <w:rsid w:val="00A1346B"/>
    <w:rsid w:val="00A413CF"/>
    <w:rsid w:val="00A46476"/>
    <w:rsid w:val="00A51BBE"/>
    <w:rsid w:val="00A649DB"/>
    <w:rsid w:val="00AC0082"/>
    <w:rsid w:val="00AD67E3"/>
    <w:rsid w:val="00B438FE"/>
    <w:rsid w:val="00B451A9"/>
    <w:rsid w:val="00B46525"/>
    <w:rsid w:val="00B84B69"/>
    <w:rsid w:val="00B87054"/>
    <w:rsid w:val="00B93B86"/>
    <w:rsid w:val="00BC50AD"/>
    <w:rsid w:val="00BE6062"/>
    <w:rsid w:val="00BF181C"/>
    <w:rsid w:val="00C11895"/>
    <w:rsid w:val="00C16576"/>
    <w:rsid w:val="00C17149"/>
    <w:rsid w:val="00C6225C"/>
    <w:rsid w:val="00C6636A"/>
    <w:rsid w:val="00CA0850"/>
    <w:rsid w:val="00CB0AEF"/>
    <w:rsid w:val="00CC12DE"/>
    <w:rsid w:val="00CD6454"/>
    <w:rsid w:val="00CE3AF2"/>
    <w:rsid w:val="00D1410B"/>
    <w:rsid w:val="00D2488C"/>
    <w:rsid w:val="00D26782"/>
    <w:rsid w:val="00D6427A"/>
    <w:rsid w:val="00D648A7"/>
    <w:rsid w:val="00DB77F2"/>
    <w:rsid w:val="00DC0B20"/>
    <w:rsid w:val="00E024B7"/>
    <w:rsid w:val="00E0538C"/>
    <w:rsid w:val="00E1553A"/>
    <w:rsid w:val="00E633E3"/>
    <w:rsid w:val="00E7734B"/>
    <w:rsid w:val="00E95A1E"/>
    <w:rsid w:val="00EA3249"/>
    <w:rsid w:val="00EE3D36"/>
    <w:rsid w:val="00EE737F"/>
    <w:rsid w:val="00F12618"/>
    <w:rsid w:val="00F32AF4"/>
    <w:rsid w:val="00F4131D"/>
    <w:rsid w:val="00F41A30"/>
    <w:rsid w:val="00F47306"/>
    <w:rsid w:val="00F8218A"/>
    <w:rsid w:val="00FC429E"/>
    <w:rsid w:val="00FD7298"/>
    <w:rsid w:val="0ED1C4BA"/>
    <w:rsid w:val="67B668B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E55F1"/>
  <w15:chartTrackingRefBased/>
  <w15:docId w15:val="{5F2B95AE-03B7-409C-BD56-691356AE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8B1"/>
    <w:pPr>
      <w:spacing w:after="0" w:line="240" w:lineRule="auto"/>
    </w:pPr>
    <w:rPr>
      <w:rFonts w:ascii="Times New Roman" w:eastAsia="Times New Roman" w:hAnsi="Times New Roman" w:cs="Times New Roman"/>
      <w:sz w:val="20"/>
      <w:szCs w:val="20"/>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7E45"/>
    <w:pPr>
      <w:spacing w:before="60" w:after="60"/>
      <w:ind w:left="720"/>
      <w:contextualSpacing/>
    </w:pPr>
    <w:rPr>
      <w:rFonts w:ascii="Arial" w:hAnsi="Arial" w:cs="Arial"/>
      <w:sz w:val="22"/>
      <w:szCs w:val="22"/>
      <w:lang w:val="fr-FR"/>
    </w:rPr>
  </w:style>
  <w:style w:type="paragraph" w:styleId="PrformatHTML">
    <w:name w:val="HTML Preformatted"/>
    <w:basedOn w:val="Normal"/>
    <w:link w:val="PrformatHTMLCar"/>
    <w:uiPriority w:val="99"/>
    <w:unhideWhenUsed/>
    <w:rsid w:val="00D26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PrformatHTMLCar">
    <w:name w:val="Préformaté HTML Car"/>
    <w:basedOn w:val="Policepardfaut"/>
    <w:link w:val="PrformatHTML"/>
    <w:uiPriority w:val="99"/>
    <w:rsid w:val="00D26782"/>
    <w:rPr>
      <w:rFonts w:ascii="Courier New" w:eastAsia="Times New Roman" w:hAnsi="Courier New" w:cs="Courier New"/>
      <w:sz w:val="20"/>
      <w:szCs w:val="20"/>
      <w:lang w:val="fr-BE" w:eastAsia="fr-BE"/>
    </w:rPr>
  </w:style>
  <w:style w:type="paragraph" w:styleId="Textedebulles">
    <w:name w:val="Balloon Text"/>
    <w:basedOn w:val="Normal"/>
    <w:link w:val="TextedebullesCar"/>
    <w:uiPriority w:val="99"/>
    <w:semiHidden/>
    <w:unhideWhenUsed/>
    <w:rsid w:val="00E024B7"/>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24B7"/>
    <w:rPr>
      <w:rFonts w:ascii="Segoe UI" w:eastAsia="Times New Roman" w:hAnsi="Segoe UI" w:cs="Segoe UI"/>
      <w:sz w:val="18"/>
      <w:szCs w:val="18"/>
      <w:lang w:val="en-US" w:eastAsia="fr-FR"/>
    </w:rPr>
  </w:style>
  <w:style w:type="paragraph" w:styleId="Corpsdetexte">
    <w:name w:val="Body Text"/>
    <w:basedOn w:val="Normal"/>
    <w:link w:val="CorpsdetexteCar"/>
    <w:uiPriority w:val="99"/>
    <w:rsid w:val="00740821"/>
    <w:pPr>
      <w:spacing w:after="120"/>
    </w:pPr>
    <w:rPr>
      <w:rFonts w:ascii="Arial" w:hAnsi="Arial"/>
      <w:sz w:val="22"/>
      <w:szCs w:val="24"/>
      <w:lang w:val="nl-NL" w:eastAsia="nl-NL"/>
    </w:rPr>
  </w:style>
  <w:style w:type="character" w:customStyle="1" w:styleId="CorpsdetexteCar">
    <w:name w:val="Corps de texte Car"/>
    <w:basedOn w:val="Policepardfaut"/>
    <w:link w:val="Corpsdetexte"/>
    <w:uiPriority w:val="99"/>
    <w:rsid w:val="00740821"/>
    <w:rPr>
      <w:rFonts w:ascii="Arial" w:eastAsia="Times New Roman" w:hAnsi="Arial" w:cs="Times New Roman"/>
      <w:szCs w:val="24"/>
      <w:lang w:val="nl-NL" w:eastAsia="nl-NL"/>
    </w:rPr>
  </w:style>
  <w:style w:type="paragraph" w:styleId="En-tte">
    <w:name w:val="header"/>
    <w:basedOn w:val="Normal"/>
    <w:link w:val="En-tteCar"/>
    <w:uiPriority w:val="99"/>
    <w:unhideWhenUsed/>
    <w:rsid w:val="004428EC"/>
    <w:pPr>
      <w:tabs>
        <w:tab w:val="center" w:pos="4703"/>
        <w:tab w:val="right" w:pos="9406"/>
      </w:tabs>
    </w:pPr>
  </w:style>
  <w:style w:type="character" w:customStyle="1" w:styleId="En-tteCar">
    <w:name w:val="En-tête Car"/>
    <w:basedOn w:val="Policepardfaut"/>
    <w:link w:val="En-tte"/>
    <w:uiPriority w:val="99"/>
    <w:rsid w:val="004428EC"/>
    <w:rPr>
      <w:rFonts w:ascii="Times New Roman" w:eastAsia="Times New Roman" w:hAnsi="Times New Roman" w:cs="Times New Roman"/>
      <w:sz w:val="20"/>
      <w:szCs w:val="20"/>
      <w:lang w:val="en-US" w:eastAsia="fr-FR"/>
    </w:rPr>
  </w:style>
  <w:style w:type="paragraph" w:styleId="Pieddepage">
    <w:name w:val="footer"/>
    <w:basedOn w:val="Normal"/>
    <w:link w:val="PieddepageCar"/>
    <w:uiPriority w:val="99"/>
    <w:unhideWhenUsed/>
    <w:rsid w:val="004428EC"/>
    <w:pPr>
      <w:tabs>
        <w:tab w:val="center" w:pos="4703"/>
        <w:tab w:val="right" w:pos="9406"/>
      </w:tabs>
    </w:pPr>
  </w:style>
  <w:style w:type="character" w:customStyle="1" w:styleId="PieddepageCar">
    <w:name w:val="Pied de page Car"/>
    <w:basedOn w:val="Policepardfaut"/>
    <w:link w:val="Pieddepage"/>
    <w:uiPriority w:val="99"/>
    <w:rsid w:val="004428EC"/>
    <w:rPr>
      <w:rFonts w:ascii="Times New Roman" w:eastAsia="Times New Roman" w:hAnsi="Times New Roman" w:cs="Times New Roman"/>
      <w:sz w:val="20"/>
      <w:szCs w:val="20"/>
      <w:lang w:val="en-US" w:eastAsia="fr-FR"/>
    </w:rPr>
  </w:style>
  <w:style w:type="table" w:styleId="Grilledutableau">
    <w:name w:val="Table Grid"/>
    <w:basedOn w:val="TableauNormal"/>
    <w:uiPriority w:val="39"/>
    <w:rsid w:val="008C6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D072C"/>
    <w:pPr>
      <w:spacing w:after="0" w:line="240" w:lineRule="auto"/>
    </w:pPr>
    <w:rPr>
      <w:rFonts w:ascii="Times New Roman" w:eastAsia="Times New Roman" w:hAnsi="Times New Roman" w:cs="Times New Roman"/>
      <w:sz w:val="20"/>
      <w:szCs w:val="20"/>
      <w:lang w:val="en-US" w:eastAsia="fr-FR"/>
    </w:rPr>
  </w:style>
  <w:style w:type="character" w:styleId="Marquedecommentaire">
    <w:name w:val="annotation reference"/>
    <w:basedOn w:val="Policepardfaut"/>
    <w:uiPriority w:val="99"/>
    <w:semiHidden/>
    <w:unhideWhenUsed/>
    <w:rsid w:val="00091C33"/>
    <w:rPr>
      <w:sz w:val="16"/>
      <w:szCs w:val="16"/>
    </w:rPr>
  </w:style>
  <w:style w:type="paragraph" w:styleId="Commentaire">
    <w:name w:val="annotation text"/>
    <w:basedOn w:val="Normal"/>
    <w:link w:val="CommentaireCar"/>
    <w:uiPriority w:val="99"/>
    <w:unhideWhenUsed/>
    <w:rsid w:val="00091C33"/>
  </w:style>
  <w:style w:type="character" w:customStyle="1" w:styleId="CommentaireCar">
    <w:name w:val="Commentaire Car"/>
    <w:basedOn w:val="Policepardfaut"/>
    <w:link w:val="Commentaire"/>
    <w:uiPriority w:val="99"/>
    <w:rsid w:val="00091C33"/>
    <w:rPr>
      <w:rFonts w:ascii="Times New Roman" w:eastAsia="Times New Roman" w:hAnsi="Times New Roman" w:cs="Times New Roman"/>
      <w:sz w:val="20"/>
      <w:szCs w:val="20"/>
      <w:lang w:val="en-US" w:eastAsia="fr-FR"/>
    </w:rPr>
  </w:style>
  <w:style w:type="paragraph" w:styleId="Objetducommentaire">
    <w:name w:val="annotation subject"/>
    <w:basedOn w:val="Commentaire"/>
    <w:next w:val="Commentaire"/>
    <w:link w:val="ObjetducommentaireCar"/>
    <w:uiPriority w:val="99"/>
    <w:semiHidden/>
    <w:unhideWhenUsed/>
    <w:rsid w:val="00091C33"/>
    <w:rPr>
      <w:b/>
      <w:bCs/>
    </w:rPr>
  </w:style>
  <w:style w:type="character" w:customStyle="1" w:styleId="ObjetducommentaireCar">
    <w:name w:val="Objet du commentaire Car"/>
    <w:basedOn w:val="CommentaireCar"/>
    <w:link w:val="Objetducommentaire"/>
    <w:uiPriority w:val="99"/>
    <w:semiHidden/>
    <w:rsid w:val="00091C33"/>
    <w:rPr>
      <w:rFonts w:ascii="Times New Roman" w:eastAsia="Times New Roman" w:hAnsi="Times New Roman" w:cs="Times New Roman"/>
      <w:b/>
      <w:bCs/>
      <w:sz w:val="20"/>
      <w:szCs w:val="20"/>
      <w:lang w:val="en-US" w:eastAsia="fr-FR"/>
    </w:rPr>
  </w:style>
  <w:style w:type="character" w:styleId="Mention">
    <w:name w:val="Mention"/>
    <w:basedOn w:val="Policepardfaut"/>
    <w:uiPriority w:val="99"/>
    <w:unhideWhenUsed/>
    <w:rsid w:val="00091C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753DF4F3C7884FACF1E4D91152CC5C" ma:contentTypeVersion="19" ma:contentTypeDescription="Crée un document." ma:contentTypeScope="" ma:versionID="2cf8434d0b97140d885624b7186faa7d">
  <xsd:schema xmlns:xsd="http://www.w3.org/2001/XMLSchema" xmlns:xs="http://www.w3.org/2001/XMLSchema" xmlns:p="http://schemas.microsoft.com/office/2006/metadata/properties" xmlns:ns2="af1c6c8b-34a8-4b70-968b-732a2ac3d3c1" xmlns:ns3="ceb1e59b-233c-4e0a-bf91-f667ea2f9184" targetNamespace="http://schemas.microsoft.com/office/2006/metadata/properties" ma:root="true" ma:fieldsID="5fa5b18acc8af6e0b9d40f758e54062a" ns2:_="" ns3:_="">
    <xsd:import namespace="af1c6c8b-34a8-4b70-968b-732a2ac3d3c1"/>
    <xsd:import namespace="ceb1e59b-233c-4e0a-bf91-f667ea2f918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1c6c8b-34a8-4b70-968b-732a2ac3d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hidden="true" ma:internalName="MediaServiceAutoTags"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fd12e951-e78d-459c-b21b-67901cf853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hidden="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b1e59b-233c-4e0a-bf91-f667ea2f9184" elementFormDefault="qualified">
    <xsd:import namespace="http://schemas.microsoft.com/office/2006/documentManagement/types"/>
    <xsd:import namespace="http://schemas.microsoft.com/office/infopath/2007/PartnerControls"/>
    <xsd:element name="SharedWithUsers" ma:index="10" nillable="true" ma:displayName="Partagé avec"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hidden="true" ma:internalName="SharedWithDetails" ma:readOnly="true">
      <xsd:simpleType>
        <xsd:restriction base="dms:Note"/>
      </xsd:simpleType>
    </xsd:element>
    <xsd:element name="TaxCatchAll" ma:index="22" nillable="true" ma:displayName="Taxonomy Catch All Column" ma:hidden="true" ma:list="{1f9c142c-8557-41f9-a8c9-560834f31e50}" ma:internalName="TaxCatchAll" ma:readOnly="false" ma:showField="CatchAllData" ma:web="ceb1e59b-233c-4e0a-bf91-f667ea2f91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eb1e59b-233c-4e0a-bf91-f667ea2f9184" xsi:nil="true"/>
    <lcf76f155ced4ddcb4097134ff3c332f xmlns="af1c6c8b-34a8-4b70-968b-732a2ac3d3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47E188-636B-4309-8338-2CDC9F338883}">
  <ds:schemaRefs>
    <ds:schemaRef ds:uri="http://schemas.microsoft.com/sharepoint/v3/contenttype/forms"/>
  </ds:schemaRefs>
</ds:datastoreItem>
</file>

<file path=customXml/itemProps2.xml><?xml version="1.0" encoding="utf-8"?>
<ds:datastoreItem xmlns:ds="http://schemas.openxmlformats.org/officeDocument/2006/customXml" ds:itemID="{844926A9-2861-43ED-BFFF-194347DA3E13}"/>
</file>

<file path=customXml/itemProps3.xml><?xml version="1.0" encoding="utf-8"?>
<ds:datastoreItem xmlns:ds="http://schemas.openxmlformats.org/officeDocument/2006/customXml" ds:itemID="{F655C24F-F8CC-41DD-BC7E-6EEA971872C9}">
  <ds:schemaRefs>
    <ds:schemaRef ds:uri="http://schemas.microsoft.com/office/2006/metadata/properties"/>
    <ds:schemaRef ds:uri="http://schemas.microsoft.com/office/infopath/2007/PartnerControls"/>
    <ds:schemaRef ds:uri="ceb1e59b-233c-4e0a-bf91-f667ea2f9184"/>
    <ds:schemaRef ds:uri="af1c6c8b-34a8-4b70-968b-732a2ac3d3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3990</Characters>
  <Application>Microsoft Office Word</Application>
  <DocSecurity>0</DocSecurity>
  <Lines>33</Lines>
  <Paragraphs>9</Paragraphs>
  <ScaleCrop>false</ScaleCrop>
  <Company/>
  <LinksUpToDate>false</LinksUpToDate>
  <CharactersWithSpaces>4680</CharactersWithSpaces>
  <SharedDoc>false</SharedDoc>
  <HLinks>
    <vt:vector size="6" baseType="variant">
      <vt:variant>
        <vt:i4>6553695</vt:i4>
      </vt:variant>
      <vt:variant>
        <vt:i4>0</vt:i4>
      </vt:variant>
      <vt:variant>
        <vt:i4>0</vt:i4>
      </vt:variant>
      <vt:variant>
        <vt:i4>5</vt:i4>
      </vt:variant>
      <vt:variant>
        <vt:lpwstr>mailto:Bart.Dombret@verlinden.belgium.be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Vanbelleghem Tim</dc:creator>
  <cp:keywords/>
  <dc:description/>
  <cp:lastModifiedBy>Buy Nicolas</cp:lastModifiedBy>
  <cp:revision>3</cp:revision>
  <cp:lastPrinted>2019-01-14T20:37:00Z</cp:lastPrinted>
  <dcterms:created xsi:type="dcterms:W3CDTF">2025-01-23T10:16:00Z</dcterms:created>
  <dcterms:modified xsi:type="dcterms:W3CDTF">2025-01-23T10:17:00Z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0x0101009D753DF4F3C7884FACF1E4D91152CC5C</vt:lpwstr>
  </property>
  <property fmtid="{D5CDD505-2E9C-101B-9397-08002B2CF9AE}" pid="3" name="MediaServiceImageTags">
    <vt:lpwstr/>
  </property>
</Properties>
</file>