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1D453" w14:textId="1D01F8FA" w:rsidR="007A2846" w:rsidRPr="00451CDB" w:rsidRDefault="00464E6D" w:rsidP="007A2846">
      <w:pPr>
        <w:rPr>
          <w:rFonts w:ascii="Times New Roman Vet" w:hAnsi="Times New Roman Vet"/>
          <w:sz w:val="22"/>
          <w:szCs w:val="22"/>
          <w:lang w:val="nl-BE"/>
        </w:rPr>
      </w:pPr>
      <w:proofErr w:type="spellStart"/>
      <w:r w:rsidRPr="00451CDB">
        <w:rPr>
          <w:b/>
          <w:smallCaps/>
          <w:szCs w:val="22"/>
          <w:lang w:val="nl-BE"/>
        </w:rPr>
        <w:t>hilde</w:t>
      </w:r>
      <w:proofErr w:type="spellEnd"/>
      <w:r w:rsidRPr="00451CDB">
        <w:rPr>
          <w:b/>
          <w:smallCaps/>
          <w:szCs w:val="22"/>
          <w:lang w:val="nl-BE"/>
        </w:rPr>
        <w:t xml:space="preserve"> </w:t>
      </w:r>
      <w:proofErr w:type="spellStart"/>
      <w:r w:rsidRPr="00451CDB">
        <w:rPr>
          <w:b/>
          <w:smallCaps/>
          <w:szCs w:val="22"/>
          <w:lang w:val="nl-BE"/>
        </w:rPr>
        <w:t>crevits</w:t>
      </w:r>
      <w:proofErr w:type="spellEnd"/>
    </w:p>
    <w:p w14:paraId="4CF3593A" w14:textId="6FFC75E9" w:rsidR="00C96513" w:rsidRPr="00C96513" w:rsidRDefault="00464E6D" w:rsidP="00E75678">
      <w:r w:rsidRPr="00451CDB">
        <w:rPr>
          <w:smallCaps/>
          <w:szCs w:val="22"/>
          <w:lang w:val="nl-BE"/>
        </w:rPr>
        <w:t xml:space="preserve">viceminister-president van de </w:t>
      </w:r>
      <w:proofErr w:type="spellStart"/>
      <w:r w:rsidRPr="00451CDB">
        <w:rPr>
          <w:smallCaps/>
          <w:szCs w:val="22"/>
          <w:lang w:val="nl-BE"/>
        </w:rPr>
        <w:t>vlaamse</w:t>
      </w:r>
      <w:proofErr w:type="spellEnd"/>
      <w:r w:rsidRPr="00451CDB">
        <w:rPr>
          <w:smallCaps/>
          <w:szCs w:val="22"/>
          <w:lang w:val="nl-BE"/>
        </w:rPr>
        <w:t xml:space="preserve"> regering, </w:t>
      </w:r>
      <w:proofErr w:type="spellStart"/>
      <w:r w:rsidRPr="00451CDB">
        <w:rPr>
          <w:smallCaps/>
          <w:szCs w:val="22"/>
          <w:lang w:val="nl-BE"/>
        </w:rPr>
        <w:t>vlaams</w:t>
      </w:r>
      <w:proofErr w:type="spellEnd"/>
      <w:r w:rsidRPr="00451CDB">
        <w:rPr>
          <w:smallCaps/>
          <w:szCs w:val="22"/>
          <w:lang w:val="nl-BE"/>
        </w:rPr>
        <w:t xml:space="preserve"> minister van binnenland, steden- en plattelandsbeleid, samenleven, integratie en inburgering, bestuurszaken, sociale economie en zeevisserij</w:t>
      </w:r>
    </w:p>
    <w:p w14:paraId="2EB2EDD9" w14:textId="77777777" w:rsidR="00C96513" w:rsidRPr="008A4109" w:rsidRDefault="00C96513" w:rsidP="00E75678">
      <w:pPr>
        <w:pBdr>
          <w:bottom w:val="single" w:sz="4" w:space="1" w:color="auto"/>
        </w:pBdr>
      </w:pPr>
    </w:p>
    <w:p w14:paraId="215B6744" w14:textId="77777777" w:rsidR="00C96513" w:rsidRPr="008A4109" w:rsidRDefault="00C96513" w:rsidP="00E75678"/>
    <w:p w14:paraId="3E223C66" w14:textId="63C7916C" w:rsidR="00E63731" w:rsidRPr="00E90415" w:rsidRDefault="00464E6D" w:rsidP="00E75678">
      <w:pPr>
        <w:rPr>
          <w:b/>
          <w:smallCaps/>
        </w:rPr>
      </w:pPr>
      <w:r>
        <w:rPr>
          <w:b/>
          <w:smallCaps/>
        </w:rPr>
        <w:t>antwoord</w:t>
      </w:r>
    </w:p>
    <w:p w14:paraId="019DE920" w14:textId="111DF522" w:rsidR="00282D9B" w:rsidRDefault="00464E6D" w:rsidP="007A2846">
      <w:r>
        <w:t>o</w:t>
      </w:r>
      <w:r w:rsidR="009F6ADF">
        <w:t xml:space="preserve">p vraag </w:t>
      </w:r>
      <w:r w:rsidR="007A2846" w:rsidRPr="00451CDB">
        <w:t>nr. 10</w:t>
      </w:r>
      <w:r w:rsidR="009F6ADF">
        <w:t xml:space="preserve"> </w:t>
      </w:r>
      <w:r>
        <w:t xml:space="preserve">van </w:t>
      </w:r>
      <w:r w:rsidRPr="00451CDB">
        <w:t>18 oktober 2024</w:t>
      </w:r>
    </w:p>
    <w:p w14:paraId="5D16E8DD" w14:textId="5A80A364" w:rsidR="00C96513" w:rsidRPr="00282D9B" w:rsidRDefault="00464E6D" w:rsidP="007A2846">
      <w:pPr>
        <w:rPr>
          <w:b/>
          <w:smallCaps/>
        </w:rPr>
      </w:pPr>
      <w:r w:rsidRPr="00451CDB">
        <w:t xml:space="preserve">van </w:t>
      </w:r>
      <w:proofErr w:type="spellStart"/>
      <w:r w:rsidRPr="00451CDB">
        <w:rPr>
          <w:b/>
          <w:smallCaps/>
        </w:rPr>
        <w:t>chris</w:t>
      </w:r>
      <w:proofErr w:type="spellEnd"/>
      <w:r w:rsidRPr="00451CDB">
        <w:rPr>
          <w:b/>
          <w:smallCaps/>
        </w:rPr>
        <w:t xml:space="preserve"> </w:t>
      </w:r>
      <w:proofErr w:type="spellStart"/>
      <w:r w:rsidRPr="00451CDB">
        <w:rPr>
          <w:b/>
          <w:smallCaps/>
        </w:rPr>
        <w:t>janssens</w:t>
      </w:r>
      <w:proofErr w:type="spellEnd"/>
    </w:p>
    <w:p w14:paraId="52F0558E" w14:textId="77777777" w:rsidR="00C96513" w:rsidRPr="008A4109" w:rsidRDefault="00C96513" w:rsidP="00E75678">
      <w:pPr>
        <w:pStyle w:val="StandaardSV"/>
        <w:pBdr>
          <w:bottom w:val="single" w:sz="4" w:space="1" w:color="auto"/>
        </w:pBdr>
        <w:jc w:val="left"/>
        <w:rPr>
          <w:rFonts w:ascii="Verdana" w:hAnsi="Verdana"/>
          <w:sz w:val="20"/>
          <w:lang w:val="nl-BE"/>
        </w:rPr>
      </w:pPr>
    </w:p>
    <w:p w14:paraId="690EF84F" w14:textId="77777777" w:rsidR="00451CDB" w:rsidRDefault="00451CDB" w:rsidP="00E75678">
      <w:pPr>
        <w:pStyle w:val="StandaardSV"/>
        <w:jc w:val="left"/>
        <w:rPr>
          <w:rFonts w:ascii="Verdana" w:hAnsi="Verdana"/>
          <w:sz w:val="20"/>
        </w:rPr>
      </w:pPr>
    </w:p>
    <w:p w14:paraId="535BA541" w14:textId="77777777" w:rsidR="00336F41" w:rsidRPr="008A4109" w:rsidRDefault="00336F41" w:rsidP="00E75678">
      <w:pPr>
        <w:pStyle w:val="StandaardSV"/>
        <w:jc w:val="left"/>
        <w:rPr>
          <w:rFonts w:ascii="Verdana" w:hAnsi="Verdana"/>
          <w:sz w:val="20"/>
        </w:rPr>
      </w:pPr>
    </w:p>
    <w:p w14:paraId="445D89CA" w14:textId="77777777" w:rsidR="00336F41" w:rsidRDefault="00336F41" w:rsidP="00C04E93">
      <w:pPr>
        <w:pStyle w:val="StijlStandaardSVVerdana10ptLinks-175cm"/>
        <w:numPr>
          <w:ilvl w:val="0"/>
          <w:numId w:val="15"/>
        </w:numPr>
        <w:ind w:left="426" w:hanging="426"/>
      </w:pPr>
      <w:r>
        <w:t>Van de 14.687 personen die tussen 1/9/2023 en 31/8/2024 een inburgeringscontract ondertekenden in het Vlaamse Gewest en een inschrijving hadden in een cursus MO moesten 3.323 personen een retributie betalen, 10.674 personen hebben een vrijstelling van retributie gekregen en voor 690 personen is er nog geen info. Daarnaast zijn er in die periode 3.018 personen die een contract hebben ondertekend in het Brussels Hoofdstedelijk Gewest waar er sowieso geen retributies zijn.</w:t>
      </w:r>
    </w:p>
    <w:p w14:paraId="537BD23D" w14:textId="77777777" w:rsidR="00336F41" w:rsidRDefault="00336F41" w:rsidP="00CE14B2">
      <w:pPr>
        <w:pStyle w:val="StijlStandaardSVVerdana10ptLinks-175cm"/>
        <w:ind w:left="284"/>
      </w:pPr>
    </w:p>
    <w:tbl>
      <w:tblPr>
        <w:tblW w:w="4814" w:type="dxa"/>
        <w:tblInd w:w="562" w:type="dxa"/>
        <w:tblLayout w:type="fixed"/>
        <w:tblCellMar>
          <w:left w:w="70" w:type="dxa"/>
          <w:right w:w="70" w:type="dxa"/>
        </w:tblCellMar>
        <w:tblLook w:val="04A0" w:firstRow="1" w:lastRow="0" w:firstColumn="1" w:lastColumn="0" w:noHBand="0" w:noVBand="1"/>
      </w:tblPr>
      <w:tblGrid>
        <w:gridCol w:w="2410"/>
        <w:gridCol w:w="1202"/>
        <w:gridCol w:w="1202"/>
      </w:tblGrid>
      <w:tr w:rsidR="00336F41" w:rsidRPr="00534760" w14:paraId="6622A7AC" w14:textId="77777777" w:rsidTr="009E0943">
        <w:trPr>
          <w:trHeight w:val="28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D4F6B" w14:textId="77777777" w:rsidR="00336F41" w:rsidRPr="00534760" w:rsidRDefault="00336F41" w:rsidP="009827AE">
            <w:pPr>
              <w:pStyle w:val="StijlStandaardSVVerdana10ptLinks-175cm"/>
            </w:pPr>
            <w:r w:rsidRPr="00534760">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5B1C8CDE" w14:textId="77777777" w:rsidR="00336F41" w:rsidRPr="00534760" w:rsidRDefault="00336F41" w:rsidP="009827AE">
            <w:pPr>
              <w:pStyle w:val="StijlStandaardSVVerdana10ptLinks-175cm"/>
            </w:pPr>
            <w:r w:rsidRPr="00534760">
              <w:t>aantal personen</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14:paraId="7155080C" w14:textId="77777777" w:rsidR="00336F41" w:rsidRPr="00534760" w:rsidRDefault="00336F41" w:rsidP="009827AE">
            <w:pPr>
              <w:pStyle w:val="StijlStandaardSVVerdana10ptLinks-175cm"/>
              <w:jc w:val="center"/>
            </w:pPr>
            <w:r w:rsidRPr="00534760">
              <w:t>%</w:t>
            </w:r>
          </w:p>
        </w:tc>
      </w:tr>
      <w:tr w:rsidR="00336F41" w:rsidRPr="00534760" w14:paraId="628B44FE" w14:textId="77777777" w:rsidTr="009E0943">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A87604D" w14:textId="77777777" w:rsidR="00336F41" w:rsidRPr="00534760" w:rsidRDefault="00336F41" w:rsidP="009827AE">
            <w:pPr>
              <w:pStyle w:val="StijlStandaardSVVerdana10ptLinks-175cm"/>
            </w:pPr>
            <w:r w:rsidRPr="00534760">
              <w:t>retributie</w:t>
            </w:r>
          </w:p>
        </w:tc>
        <w:tc>
          <w:tcPr>
            <w:tcW w:w="1202" w:type="dxa"/>
            <w:tcBorders>
              <w:top w:val="nil"/>
              <w:left w:val="nil"/>
              <w:bottom w:val="single" w:sz="4" w:space="0" w:color="auto"/>
              <w:right w:val="single" w:sz="4" w:space="0" w:color="auto"/>
            </w:tcBorders>
            <w:shd w:val="clear" w:color="auto" w:fill="auto"/>
            <w:noWrap/>
            <w:vAlign w:val="bottom"/>
            <w:hideMark/>
          </w:tcPr>
          <w:p w14:paraId="16865C9E" w14:textId="77777777" w:rsidR="00336F41" w:rsidRPr="00534760" w:rsidRDefault="00336F41" w:rsidP="009827AE">
            <w:pPr>
              <w:pStyle w:val="StijlStandaardSVVerdana10ptLinks-175cm"/>
              <w:jc w:val="right"/>
            </w:pPr>
            <w:r w:rsidRPr="00534760">
              <w:t>3.323</w:t>
            </w:r>
          </w:p>
        </w:tc>
        <w:tc>
          <w:tcPr>
            <w:tcW w:w="1202" w:type="dxa"/>
            <w:tcBorders>
              <w:top w:val="nil"/>
              <w:left w:val="nil"/>
              <w:bottom w:val="single" w:sz="4" w:space="0" w:color="auto"/>
              <w:right w:val="single" w:sz="4" w:space="0" w:color="auto"/>
            </w:tcBorders>
            <w:shd w:val="clear" w:color="auto" w:fill="auto"/>
            <w:noWrap/>
            <w:vAlign w:val="bottom"/>
            <w:hideMark/>
          </w:tcPr>
          <w:p w14:paraId="3B9BC96E" w14:textId="77777777" w:rsidR="00336F41" w:rsidRPr="00534760" w:rsidRDefault="00336F41" w:rsidP="009827AE">
            <w:pPr>
              <w:pStyle w:val="StijlStandaardSVVerdana10ptLinks-175cm"/>
              <w:jc w:val="right"/>
            </w:pPr>
            <w:r w:rsidRPr="00534760">
              <w:t>23%</w:t>
            </w:r>
          </w:p>
        </w:tc>
      </w:tr>
      <w:tr w:rsidR="00336F41" w:rsidRPr="00534760" w14:paraId="14ED1AC3" w14:textId="77777777" w:rsidTr="009E0943">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3E2C1C8" w14:textId="77777777" w:rsidR="00336F41" w:rsidRPr="00534760" w:rsidRDefault="00336F41" w:rsidP="009827AE">
            <w:pPr>
              <w:pStyle w:val="StijlStandaardSVVerdana10ptLinks-175cm"/>
            </w:pPr>
            <w:r w:rsidRPr="00534760">
              <w:t>vrijstelling</w:t>
            </w:r>
          </w:p>
        </w:tc>
        <w:tc>
          <w:tcPr>
            <w:tcW w:w="1202" w:type="dxa"/>
            <w:tcBorders>
              <w:top w:val="nil"/>
              <w:left w:val="nil"/>
              <w:bottom w:val="single" w:sz="4" w:space="0" w:color="auto"/>
              <w:right w:val="single" w:sz="4" w:space="0" w:color="auto"/>
            </w:tcBorders>
            <w:shd w:val="clear" w:color="auto" w:fill="auto"/>
            <w:noWrap/>
            <w:vAlign w:val="bottom"/>
            <w:hideMark/>
          </w:tcPr>
          <w:p w14:paraId="7D30D2A5" w14:textId="77777777" w:rsidR="00336F41" w:rsidRPr="00534760" w:rsidRDefault="00336F41" w:rsidP="009827AE">
            <w:pPr>
              <w:pStyle w:val="StijlStandaardSVVerdana10ptLinks-175cm"/>
              <w:jc w:val="right"/>
            </w:pPr>
            <w:r w:rsidRPr="00534760">
              <w:t>10.674</w:t>
            </w:r>
          </w:p>
        </w:tc>
        <w:tc>
          <w:tcPr>
            <w:tcW w:w="1202" w:type="dxa"/>
            <w:tcBorders>
              <w:top w:val="nil"/>
              <w:left w:val="nil"/>
              <w:bottom w:val="single" w:sz="4" w:space="0" w:color="auto"/>
              <w:right w:val="single" w:sz="4" w:space="0" w:color="auto"/>
            </w:tcBorders>
            <w:shd w:val="clear" w:color="auto" w:fill="auto"/>
            <w:noWrap/>
            <w:vAlign w:val="bottom"/>
            <w:hideMark/>
          </w:tcPr>
          <w:p w14:paraId="550DFE99" w14:textId="77777777" w:rsidR="00336F41" w:rsidRPr="00534760" w:rsidRDefault="00336F41" w:rsidP="009827AE">
            <w:pPr>
              <w:pStyle w:val="StijlStandaardSVVerdana10ptLinks-175cm"/>
              <w:jc w:val="right"/>
            </w:pPr>
            <w:r w:rsidRPr="00534760">
              <w:t>73%</w:t>
            </w:r>
          </w:p>
        </w:tc>
      </w:tr>
      <w:tr w:rsidR="00336F41" w:rsidRPr="00534760" w14:paraId="3598778D" w14:textId="77777777" w:rsidTr="009E0943">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72862E2" w14:textId="77777777" w:rsidR="00336F41" w:rsidRPr="00534760" w:rsidRDefault="00336F41" w:rsidP="009827AE">
            <w:pPr>
              <w:pStyle w:val="StijlStandaardSVVerdana10ptLinks-175cm"/>
            </w:pPr>
            <w:r w:rsidRPr="00534760">
              <w:t>geen info</w:t>
            </w:r>
          </w:p>
        </w:tc>
        <w:tc>
          <w:tcPr>
            <w:tcW w:w="1202" w:type="dxa"/>
            <w:tcBorders>
              <w:top w:val="nil"/>
              <w:left w:val="nil"/>
              <w:bottom w:val="single" w:sz="4" w:space="0" w:color="auto"/>
              <w:right w:val="single" w:sz="4" w:space="0" w:color="auto"/>
            </w:tcBorders>
            <w:shd w:val="clear" w:color="auto" w:fill="auto"/>
            <w:noWrap/>
            <w:vAlign w:val="bottom"/>
            <w:hideMark/>
          </w:tcPr>
          <w:p w14:paraId="13667336" w14:textId="77777777" w:rsidR="00336F41" w:rsidRPr="00534760" w:rsidRDefault="00336F41" w:rsidP="009827AE">
            <w:pPr>
              <w:pStyle w:val="StijlStandaardSVVerdana10ptLinks-175cm"/>
              <w:jc w:val="right"/>
            </w:pPr>
            <w:r w:rsidRPr="00534760">
              <w:t>690</w:t>
            </w:r>
          </w:p>
        </w:tc>
        <w:tc>
          <w:tcPr>
            <w:tcW w:w="1202" w:type="dxa"/>
            <w:tcBorders>
              <w:top w:val="nil"/>
              <w:left w:val="nil"/>
              <w:bottom w:val="single" w:sz="4" w:space="0" w:color="auto"/>
              <w:right w:val="single" w:sz="4" w:space="0" w:color="auto"/>
            </w:tcBorders>
            <w:shd w:val="clear" w:color="auto" w:fill="auto"/>
            <w:noWrap/>
            <w:vAlign w:val="bottom"/>
            <w:hideMark/>
          </w:tcPr>
          <w:p w14:paraId="5C5EA2CD" w14:textId="77777777" w:rsidR="00336F41" w:rsidRPr="00534760" w:rsidRDefault="00336F41" w:rsidP="009827AE">
            <w:pPr>
              <w:pStyle w:val="StijlStandaardSVVerdana10ptLinks-175cm"/>
              <w:jc w:val="right"/>
            </w:pPr>
            <w:r w:rsidRPr="00534760">
              <w:t>5%</w:t>
            </w:r>
          </w:p>
        </w:tc>
      </w:tr>
      <w:tr w:rsidR="00336F41" w:rsidRPr="00534760" w14:paraId="49971D82" w14:textId="77777777" w:rsidTr="009E0943">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52F3756" w14:textId="77777777" w:rsidR="00336F41" w:rsidRPr="00534760" w:rsidRDefault="00336F41" w:rsidP="009827AE">
            <w:pPr>
              <w:pStyle w:val="StijlStandaardSVVerdana10ptLinks-175cm"/>
            </w:pPr>
            <w:r w:rsidRPr="00534760">
              <w:t>totaal</w:t>
            </w:r>
          </w:p>
        </w:tc>
        <w:tc>
          <w:tcPr>
            <w:tcW w:w="1202" w:type="dxa"/>
            <w:tcBorders>
              <w:top w:val="nil"/>
              <w:left w:val="nil"/>
              <w:bottom w:val="single" w:sz="4" w:space="0" w:color="auto"/>
              <w:right w:val="single" w:sz="4" w:space="0" w:color="auto"/>
            </w:tcBorders>
            <w:shd w:val="clear" w:color="auto" w:fill="auto"/>
            <w:noWrap/>
            <w:vAlign w:val="bottom"/>
            <w:hideMark/>
          </w:tcPr>
          <w:p w14:paraId="6F6AB349" w14:textId="77777777" w:rsidR="00336F41" w:rsidRPr="00534760" w:rsidRDefault="00336F41" w:rsidP="009827AE">
            <w:pPr>
              <w:pStyle w:val="StijlStandaardSVVerdana10ptLinks-175cm"/>
              <w:jc w:val="right"/>
            </w:pPr>
            <w:r w:rsidRPr="00534760">
              <w:t>14.687</w:t>
            </w:r>
          </w:p>
        </w:tc>
        <w:tc>
          <w:tcPr>
            <w:tcW w:w="1202" w:type="dxa"/>
            <w:tcBorders>
              <w:top w:val="nil"/>
              <w:left w:val="nil"/>
              <w:bottom w:val="single" w:sz="4" w:space="0" w:color="auto"/>
              <w:right w:val="single" w:sz="4" w:space="0" w:color="auto"/>
            </w:tcBorders>
            <w:shd w:val="clear" w:color="auto" w:fill="auto"/>
            <w:noWrap/>
            <w:vAlign w:val="bottom"/>
            <w:hideMark/>
          </w:tcPr>
          <w:p w14:paraId="6B6CD793" w14:textId="77777777" w:rsidR="00336F41" w:rsidRPr="00534760" w:rsidRDefault="00336F41" w:rsidP="009827AE">
            <w:pPr>
              <w:pStyle w:val="StijlStandaardSVVerdana10ptLinks-175cm"/>
              <w:jc w:val="right"/>
            </w:pPr>
            <w:r w:rsidRPr="00534760">
              <w:t>100%</w:t>
            </w:r>
          </w:p>
        </w:tc>
      </w:tr>
    </w:tbl>
    <w:p w14:paraId="3FFEE6E1" w14:textId="77777777" w:rsidR="00336F41" w:rsidRDefault="00336F41" w:rsidP="00CE14B2">
      <w:pPr>
        <w:pStyle w:val="StijlStandaardSVVerdana10ptLinks-175cm"/>
        <w:ind w:left="284"/>
      </w:pPr>
    </w:p>
    <w:tbl>
      <w:tblPr>
        <w:tblStyle w:val="Tabelraster"/>
        <w:tblW w:w="8788" w:type="dxa"/>
        <w:tblInd w:w="562" w:type="dxa"/>
        <w:tblLayout w:type="fixed"/>
        <w:tblLook w:val="04A0" w:firstRow="1" w:lastRow="0" w:firstColumn="1" w:lastColumn="0" w:noHBand="0" w:noVBand="1"/>
      </w:tblPr>
      <w:tblGrid>
        <w:gridCol w:w="6379"/>
        <w:gridCol w:w="1204"/>
        <w:gridCol w:w="1205"/>
      </w:tblGrid>
      <w:tr w:rsidR="00336F41" w:rsidRPr="00EA0A8D" w14:paraId="3D1D91DC" w14:textId="77777777" w:rsidTr="009E0943">
        <w:trPr>
          <w:trHeight w:val="288"/>
        </w:trPr>
        <w:tc>
          <w:tcPr>
            <w:tcW w:w="6379" w:type="dxa"/>
            <w:noWrap/>
            <w:hideMark/>
          </w:tcPr>
          <w:p w14:paraId="30EC1CBB" w14:textId="77777777" w:rsidR="00336F41" w:rsidRPr="00EA0A8D" w:rsidRDefault="00336F41" w:rsidP="009827AE">
            <w:pPr>
              <w:pStyle w:val="StijlStandaardSVVerdana10ptLinks-175cm"/>
            </w:pPr>
            <w:r>
              <w:t>R</w:t>
            </w:r>
            <w:r w:rsidRPr="00EA0A8D">
              <w:t>eden vrijstelling</w:t>
            </w:r>
            <w:r>
              <w:t xml:space="preserve"> (cf. het integratie- en inburgeringsdecreet)</w:t>
            </w:r>
          </w:p>
        </w:tc>
        <w:tc>
          <w:tcPr>
            <w:tcW w:w="1204" w:type="dxa"/>
            <w:noWrap/>
            <w:hideMark/>
          </w:tcPr>
          <w:p w14:paraId="6D170759" w14:textId="77777777" w:rsidR="00336F41" w:rsidRPr="00EA0A8D" w:rsidRDefault="00336F41" w:rsidP="009827AE">
            <w:pPr>
              <w:pStyle w:val="StijlStandaardSVVerdana10ptLinks-175cm"/>
            </w:pPr>
            <w:r>
              <w:t>a</w:t>
            </w:r>
            <w:r w:rsidRPr="00EA0A8D">
              <w:t>antal personen</w:t>
            </w:r>
          </w:p>
        </w:tc>
        <w:tc>
          <w:tcPr>
            <w:tcW w:w="1205" w:type="dxa"/>
            <w:noWrap/>
            <w:hideMark/>
          </w:tcPr>
          <w:p w14:paraId="2781E43C" w14:textId="77777777" w:rsidR="00336F41" w:rsidRPr="00EA0A8D" w:rsidRDefault="00336F41" w:rsidP="009827AE">
            <w:pPr>
              <w:pStyle w:val="StijlStandaardSVVerdana10ptLinks-175cm"/>
              <w:jc w:val="center"/>
            </w:pPr>
            <w:r w:rsidRPr="00EA0A8D">
              <w:t>%</w:t>
            </w:r>
          </w:p>
        </w:tc>
      </w:tr>
      <w:tr w:rsidR="00336F41" w:rsidRPr="00EA0A8D" w14:paraId="1B5A9CD7" w14:textId="77777777" w:rsidTr="009E0943">
        <w:trPr>
          <w:trHeight w:val="288"/>
        </w:trPr>
        <w:tc>
          <w:tcPr>
            <w:tcW w:w="6379" w:type="dxa"/>
            <w:noWrap/>
            <w:hideMark/>
          </w:tcPr>
          <w:p w14:paraId="32718A60" w14:textId="77777777" w:rsidR="00336F41" w:rsidRPr="00EA0A8D" w:rsidRDefault="00336F41" w:rsidP="009827AE">
            <w:pPr>
              <w:pStyle w:val="StijlStandaardSVVerdana10ptLinks-175cm"/>
            </w:pPr>
            <w:r>
              <w:t>W</w:t>
            </w:r>
            <w:r w:rsidRPr="00EA0A8D">
              <w:t xml:space="preserve">erkzoekend met opleiding </w:t>
            </w:r>
            <w:proofErr w:type="spellStart"/>
            <w:r w:rsidRPr="00EA0A8D">
              <w:t>ikv</w:t>
            </w:r>
            <w:proofErr w:type="spellEnd"/>
            <w:r w:rsidRPr="00EA0A8D">
              <w:t xml:space="preserve"> traject naar werk</w:t>
            </w:r>
          </w:p>
        </w:tc>
        <w:tc>
          <w:tcPr>
            <w:tcW w:w="1204" w:type="dxa"/>
            <w:noWrap/>
            <w:hideMark/>
          </w:tcPr>
          <w:p w14:paraId="48D65C77" w14:textId="77777777" w:rsidR="00336F41" w:rsidRPr="00EA0A8D" w:rsidRDefault="00336F41" w:rsidP="009827AE">
            <w:pPr>
              <w:pStyle w:val="StijlStandaardSVVerdana10ptLinks-175cm"/>
              <w:jc w:val="right"/>
            </w:pPr>
            <w:r w:rsidRPr="00EA0A8D">
              <w:t>4.214</w:t>
            </w:r>
          </w:p>
        </w:tc>
        <w:tc>
          <w:tcPr>
            <w:tcW w:w="1205" w:type="dxa"/>
            <w:noWrap/>
            <w:hideMark/>
          </w:tcPr>
          <w:p w14:paraId="62A62808" w14:textId="77777777" w:rsidR="00336F41" w:rsidRPr="00EA0A8D" w:rsidRDefault="00336F41" w:rsidP="009827AE">
            <w:pPr>
              <w:pStyle w:val="StijlStandaardSVVerdana10ptLinks-175cm"/>
              <w:jc w:val="right"/>
            </w:pPr>
            <w:r w:rsidRPr="00EA0A8D">
              <w:t>39%</w:t>
            </w:r>
          </w:p>
        </w:tc>
      </w:tr>
      <w:tr w:rsidR="00336F41" w:rsidRPr="00EA0A8D" w14:paraId="125E536F" w14:textId="77777777" w:rsidTr="009E0943">
        <w:trPr>
          <w:trHeight w:val="288"/>
        </w:trPr>
        <w:tc>
          <w:tcPr>
            <w:tcW w:w="6379" w:type="dxa"/>
            <w:noWrap/>
            <w:hideMark/>
          </w:tcPr>
          <w:p w14:paraId="7E3FA717" w14:textId="77777777" w:rsidR="00336F41" w:rsidRPr="00EA0A8D" w:rsidRDefault="00336F41" w:rsidP="009827AE">
            <w:pPr>
              <w:pStyle w:val="StijlStandaardSVVerdana10ptLinks-175cm"/>
            </w:pPr>
            <w:r>
              <w:t>In</w:t>
            </w:r>
            <w:r w:rsidRPr="00EA0A8D">
              <w:t>komen leefloon/maatschappelijke dienstverlening</w:t>
            </w:r>
          </w:p>
        </w:tc>
        <w:tc>
          <w:tcPr>
            <w:tcW w:w="1204" w:type="dxa"/>
            <w:noWrap/>
            <w:hideMark/>
          </w:tcPr>
          <w:p w14:paraId="6AFA0607" w14:textId="77777777" w:rsidR="00336F41" w:rsidRPr="00EA0A8D" w:rsidRDefault="00336F41" w:rsidP="009827AE">
            <w:pPr>
              <w:pStyle w:val="StijlStandaardSVVerdana10ptLinks-175cm"/>
              <w:jc w:val="right"/>
            </w:pPr>
            <w:r w:rsidRPr="00EA0A8D">
              <w:t>3.346</w:t>
            </w:r>
          </w:p>
        </w:tc>
        <w:tc>
          <w:tcPr>
            <w:tcW w:w="1205" w:type="dxa"/>
            <w:noWrap/>
            <w:hideMark/>
          </w:tcPr>
          <w:p w14:paraId="14C6314F" w14:textId="77777777" w:rsidR="00336F41" w:rsidRPr="00EA0A8D" w:rsidRDefault="00336F41" w:rsidP="009827AE">
            <w:pPr>
              <w:pStyle w:val="StijlStandaardSVVerdana10ptLinks-175cm"/>
              <w:jc w:val="right"/>
            </w:pPr>
            <w:r w:rsidRPr="00EA0A8D">
              <w:t>31%</w:t>
            </w:r>
          </w:p>
        </w:tc>
      </w:tr>
      <w:tr w:rsidR="00336F41" w:rsidRPr="00EA0A8D" w14:paraId="7D2284FC" w14:textId="77777777" w:rsidTr="009E0943">
        <w:trPr>
          <w:trHeight w:val="288"/>
        </w:trPr>
        <w:tc>
          <w:tcPr>
            <w:tcW w:w="6379" w:type="dxa"/>
            <w:noWrap/>
            <w:hideMark/>
          </w:tcPr>
          <w:p w14:paraId="47B3717C" w14:textId="77777777" w:rsidR="00336F41" w:rsidRPr="00EA0A8D" w:rsidRDefault="00336F41" w:rsidP="009827AE">
            <w:pPr>
              <w:pStyle w:val="StijlStandaardSVVerdana10ptLinks-175cm"/>
            </w:pPr>
            <w:r>
              <w:t>G</w:t>
            </w:r>
            <w:r w:rsidRPr="00EA0A8D">
              <w:t>een diploma sec</w:t>
            </w:r>
            <w:r>
              <w:t>undair</w:t>
            </w:r>
            <w:r w:rsidRPr="00EA0A8D">
              <w:t xml:space="preserve"> en ingeschreven in modules geletterdheid</w:t>
            </w:r>
          </w:p>
        </w:tc>
        <w:tc>
          <w:tcPr>
            <w:tcW w:w="1204" w:type="dxa"/>
            <w:noWrap/>
            <w:hideMark/>
          </w:tcPr>
          <w:p w14:paraId="4A1589AC" w14:textId="77777777" w:rsidR="00336F41" w:rsidRPr="00EA0A8D" w:rsidRDefault="00336F41" w:rsidP="009827AE">
            <w:pPr>
              <w:pStyle w:val="StijlStandaardSVVerdana10ptLinks-175cm"/>
              <w:jc w:val="right"/>
            </w:pPr>
            <w:r w:rsidRPr="00EA0A8D">
              <w:t>1.831</w:t>
            </w:r>
          </w:p>
        </w:tc>
        <w:tc>
          <w:tcPr>
            <w:tcW w:w="1205" w:type="dxa"/>
            <w:noWrap/>
            <w:hideMark/>
          </w:tcPr>
          <w:p w14:paraId="374F6D57" w14:textId="77777777" w:rsidR="00336F41" w:rsidRPr="00EA0A8D" w:rsidRDefault="00336F41" w:rsidP="009827AE">
            <w:pPr>
              <w:pStyle w:val="StijlStandaardSVVerdana10ptLinks-175cm"/>
              <w:jc w:val="right"/>
            </w:pPr>
            <w:r w:rsidRPr="00EA0A8D">
              <w:t>17%</w:t>
            </w:r>
          </w:p>
        </w:tc>
      </w:tr>
      <w:tr w:rsidR="00336F41" w:rsidRPr="00EA0A8D" w14:paraId="146DADD6" w14:textId="77777777" w:rsidTr="009E0943">
        <w:trPr>
          <w:trHeight w:val="288"/>
        </w:trPr>
        <w:tc>
          <w:tcPr>
            <w:tcW w:w="6379" w:type="dxa"/>
            <w:noWrap/>
            <w:hideMark/>
          </w:tcPr>
          <w:p w14:paraId="3054A458" w14:textId="77777777" w:rsidR="00336F41" w:rsidRPr="00EA0A8D" w:rsidRDefault="00336F41" w:rsidP="009827AE">
            <w:pPr>
              <w:pStyle w:val="StijlStandaardSVVerdana10ptLinks-175cm"/>
            </w:pPr>
            <w:r>
              <w:t>V</w:t>
            </w:r>
            <w:r w:rsidRPr="00EA0A8D">
              <w:t>erplicht ingeschr</w:t>
            </w:r>
            <w:r>
              <w:t>even</w:t>
            </w:r>
            <w:r w:rsidRPr="00EA0A8D">
              <w:t xml:space="preserve"> werkzoekend en geen inschakelingsuitkering</w:t>
            </w:r>
          </w:p>
        </w:tc>
        <w:tc>
          <w:tcPr>
            <w:tcW w:w="1204" w:type="dxa"/>
            <w:noWrap/>
            <w:hideMark/>
          </w:tcPr>
          <w:p w14:paraId="3A3193EB" w14:textId="77777777" w:rsidR="00336F41" w:rsidRPr="00EA0A8D" w:rsidRDefault="00336F41" w:rsidP="009827AE">
            <w:pPr>
              <w:pStyle w:val="StijlStandaardSVVerdana10ptLinks-175cm"/>
              <w:jc w:val="right"/>
            </w:pPr>
            <w:r w:rsidRPr="00EA0A8D">
              <w:t>1.280</w:t>
            </w:r>
          </w:p>
        </w:tc>
        <w:tc>
          <w:tcPr>
            <w:tcW w:w="1205" w:type="dxa"/>
            <w:noWrap/>
            <w:hideMark/>
          </w:tcPr>
          <w:p w14:paraId="1B0470F2" w14:textId="77777777" w:rsidR="00336F41" w:rsidRPr="00EA0A8D" w:rsidRDefault="00336F41" w:rsidP="009827AE">
            <w:pPr>
              <w:pStyle w:val="StijlStandaardSVVerdana10ptLinks-175cm"/>
              <w:jc w:val="right"/>
            </w:pPr>
            <w:r w:rsidRPr="00EA0A8D">
              <w:t>12%</w:t>
            </w:r>
          </w:p>
        </w:tc>
      </w:tr>
      <w:tr w:rsidR="00336F41" w:rsidRPr="00EA0A8D" w14:paraId="24BB8D13" w14:textId="77777777" w:rsidTr="009E0943">
        <w:trPr>
          <w:trHeight w:val="288"/>
        </w:trPr>
        <w:tc>
          <w:tcPr>
            <w:tcW w:w="6379" w:type="dxa"/>
            <w:hideMark/>
          </w:tcPr>
          <w:p w14:paraId="4EB2ADE1" w14:textId="77777777" w:rsidR="00336F41" w:rsidRPr="00EA0A8D" w:rsidRDefault="00336F41" w:rsidP="009827AE">
            <w:pPr>
              <w:pStyle w:val="StijlStandaardSVVerdana10ptLinks-175cm"/>
            </w:pPr>
            <w:r>
              <w:t>Inburgeringsattest</w:t>
            </w:r>
            <w:r w:rsidRPr="00EA0A8D">
              <w:t xml:space="preserve"> behaald in andere gemeenschap</w:t>
            </w:r>
          </w:p>
        </w:tc>
        <w:tc>
          <w:tcPr>
            <w:tcW w:w="1204" w:type="dxa"/>
            <w:noWrap/>
            <w:hideMark/>
          </w:tcPr>
          <w:p w14:paraId="37C560FD" w14:textId="77777777" w:rsidR="00336F41" w:rsidRPr="00EA0A8D" w:rsidRDefault="00336F41" w:rsidP="009827AE">
            <w:pPr>
              <w:pStyle w:val="StijlStandaardSVVerdana10ptLinks-175cm"/>
              <w:jc w:val="right"/>
            </w:pPr>
            <w:r w:rsidRPr="00EA0A8D">
              <w:t>3</w:t>
            </w:r>
          </w:p>
        </w:tc>
        <w:tc>
          <w:tcPr>
            <w:tcW w:w="1205" w:type="dxa"/>
            <w:noWrap/>
            <w:hideMark/>
          </w:tcPr>
          <w:p w14:paraId="2A2691FE" w14:textId="77777777" w:rsidR="00336F41" w:rsidRPr="00EA0A8D" w:rsidRDefault="00336F41" w:rsidP="009827AE">
            <w:pPr>
              <w:pStyle w:val="StijlStandaardSVVerdana10ptLinks-175cm"/>
              <w:jc w:val="right"/>
            </w:pPr>
            <w:r w:rsidRPr="00EA0A8D">
              <w:t>0%</w:t>
            </w:r>
          </w:p>
        </w:tc>
      </w:tr>
      <w:tr w:rsidR="00336F41" w:rsidRPr="00EA0A8D" w14:paraId="49369CEE" w14:textId="77777777" w:rsidTr="009E0943">
        <w:trPr>
          <w:trHeight w:val="288"/>
        </w:trPr>
        <w:tc>
          <w:tcPr>
            <w:tcW w:w="6379" w:type="dxa"/>
            <w:noWrap/>
            <w:hideMark/>
          </w:tcPr>
          <w:p w14:paraId="4A1FD689" w14:textId="77777777" w:rsidR="00336F41" w:rsidRPr="00EA0A8D" w:rsidRDefault="00336F41" w:rsidP="009827AE">
            <w:pPr>
              <w:pStyle w:val="StijlStandaardSVVerdana10ptLinks-175cm"/>
            </w:pPr>
            <w:r>
              <w:t>T</w:t>
            </w:r>
            <w:r w:rsidRPr="00EA0A8D">
              <w:t>otaal</w:t>
            </w:r>
          </w:p>
        </w:tc>
        <w:tc>
          <w:tcPr>
            <w:tcW w:w="1204" w:type="dxa"/>
            <w:noWrap/>
            <w:hideMark/>
          </w:tcPr>
          <w:p w14:paraId="42762E4B" w14:textId="77777777" w:rsidR="00336F41" w:rsidRPr="00EA0A8D" w:rsidRDefault="00336F41" w:rsidP="009827AE">
            <w:pPr>
              <w:pStyle w:val="StijlStandaardSVVerdana10ptLinks-175cm"/>
              <w:jc w:val="right"/>
            </w:pPr>
            <w:r w:rsidRPr="00EA0A8D">
              <w:t>10.674</w:t>
            </w:r>
          </w:p>
        </w:tc>
        <w:tc>
          <w:tcPr>
            <w:tcW w:w="1205" w:type="dxa"/>
            <w:noWrap/>
            <w:hideMark/>
          </w:tcPr>
          <w:p w14:paraId="4ADADBFF" w14:textId="77777777" w:rsidR="00336F41" w:rsidRPr="00EA0A8D" w:rsidRDefault="00336F41" w:rsidP="009827AE">
            <w:pPr>
              <w:pStyle w:val="StijlStandaardSVVerdana10ptLinks-175cm"/>
              <w:jc w:val="right"/>
            </w:pPr>
            <w:r w:rsidRPr="00EA0A8D">
              <w:t>100%</w:t>
            </w:r>
          </w:p>
        </w:tc>
      </w:tr>
    </w:tbl>
    <w:p w14:paraId="4F2F2163" w14:textId="77777777" w:rsidR="00336F41" w:rsidRDefault="00336F41" w:rsidP="00336F41">
      <w:pPr>
        <w:pStyle w:val="StijlStandaardSVVerdana10ptLinks-175cm"/>
      </w:pPr>
    </w:p>
    <w:p w14:paraId="5E20C561" w14:textId="77777777" w:rsidR="00336F41" w:rsidRDefault="00336F41" w:rsidP="00C04E93">
      <w:pPr>
        <w:pStyle w:val="StijlStandaardSVVerdana10ptLinks-175cm"/>
        <w:numPr>
          <w:ilvl w:val="0"/>
          <w:numId w:val="15"/>
        </w:numPr>
        <w:ind w:left="426" w:hanging="426"/>
      </w:pPr>
      <w:r>
        <w:t>Hierbij een tabel van de reeds geïnde bedragen tijdens het eerste jaar.</w:t>
      </w:r>
    </w:p>
    <w:p w14:paraId="2A410217" w14:textId="77777777" w:rsidR="00336F41" w:rsidRDefault="00336F41" w:rsidP="00336F41">
      <w:pPr>
        <w:pStyle w:val="StijlStandaardSVVerdana10ptLinks-175cm"/>
        <w:ind w:left="720"/>
      </w:pPr>
    </w:p>
    <w:tbl>
      <w:tblPr>
        <w:tblStyle w:val="Tabelraster"/>
        <w:tblW w:w="0" w:type="auto"/>
        <w:tblInd w:w="562" w:type="dxa"/>
        <w:tblLook w:val="04A0" w:firstRow="1" w:lastRow="0" w:firstColumn="1" w:lastColumn="0" w:noHBand="0" w:noVBand="1"/>
      </w:tblPr>
      <w:tblGrid>
        <w:gridCol w:w="4819"/>
        <w:gridCol w:w="2481"/>
      </w:tblGrid>
      <w:tr w:rsidR="00336F41" w14:paraId="6D5C35E8" w14:textId="77777777" w:rsidTr="009E0943">
        <w:tc>
          <w:tcPr>
            <w:tcW w:w="4819" w:type="dxa"/>
          </w:tcPr>
          <w:p w14:paraId="1AF9FCC2" w14:textId="77777777" w:rsidR="00336F41" w:rsidRDefault="00336F41" w:rsidP="009827AE">
            <w:pPr>
              <w:pStyle w:val="StijlStandaardSVVerdana10ptLinks-175cm"/>
            </w:pPr>
          </w:p>
        </w:tc>
        <w:tc>
          <w:tcPr>
            <w:tcW w:w="2481" w:type="dxa"/>
          </w:tcPr>
          <w:p w14:paraId="03624E23" w14:textId="77777777" w:rsidR="00336F41" w:rsidRDefault="00336F41" w:rsidP="009827AE">
            <w:pPr>
              <w:pStyle w:val="StijlStandaardSVVerdana10ptLinks-175cm"/>
            </w:pPr>
            <w:r>
              <w:t>geïnd bedrag in euro</w:t>
            </w:r>
          </w:p>
        </w:tc>
      </w:tr>
      <w:tr w:rsidR="00336F41" w14:paraId="390D3AD3" w14:textId="77777777" w:rsidTr="009E0943">
        <w:tc>
          <w:tcPr>
            <w:tcW w:w="4819" w:type="dxa"/>
          </w:tcPr>
          <w:p w14:paraId="058CF108" w14:textId="77777777" w:rsidR="00336F41" w:rsidRDefault="00336F41" w:rsidP="009827AE">
            <w:pPr>
              <w:pStyle w:val="StijlStandaardSVVerdana10ptLinks-175cm"/>
            </w:pPr>
            <w:r>
              <w:t>Agentschap Integratie en Inburgering</w:t>
            </w:r>
          </w:p>
        </w:tc>
        <w:tc>
          <w:tcPr>
            <w:tcW w:w="2481" w:type="dxa"/>
          </w:tcPr>
          <w:p w14:paraId="0B077B2E" w14:textId="77777777" w:rsidR="00336F41" w:rsidRDefault="00336F41" w:rsidP="009827AE">
            <w:pPr>
              <w:pStyle w:val="StijlStandaardSVVerdana10ptLinks-175cm"/>
              <w:jc w:val="right"/>
            </w:pPr>
            <w:r>
              <w:t>395.895</w:t>
            </w:r>
          </w:p>
        </w:tc>
      </w:tr>
      <w:tr w:rsidR="00336F41" w14:paraId="1F6D6E15" w14:textId="77777777" w:rsidTr="009E0943">
        <w:tc>
          <w:tcPr>
            <w:tcW w:w="4819" w:type="dxa"/>
          </w:tcPr>
          <w:p w14:paraId="4B968373" w14:textId="77777777" w:rsidR="00336F41" w:rsidRDefault="00336F41" w:rsidP="009827AE">
            <w:pPr>
              <w:pStyle w:val="StijlStandaardSVVerdana10ptLinks-175cm"/>
            </w:pPr>
            <w:r>
              <w:t>Atlas</w:t>
            </w:r>
          </w:p>
        </w:tc>
        <w:tc>
          <w:tcPr>
            <w:tcW w:w="2481" w:type="dxa"/>
          </w:tcPr>
          <w:p w14:paraId="683DA19A" w14:textId="77777777" w:rsidR="00336F41" w:rsidRDefault="00336F41" w:rsidP="009827AE">
            <w:pPr>
              <w:pStyle w:val="StijlStandaardSVVerdana10ptLinks-175cm"/>
              <w:jc w:val="right"/>
            </w:pPr>
            <w:r>
              <w:t>117.041</w:t>
            </w:r>
          </w:p>
        </w:tc>
      </w:tr>
      <w:tr w:rsidR="00336F41" w14:paraId="6F862272" w14:textId="77777777" w:rsidTr="009E0943">
        <w:tc>
          <w:tcPr>
            <w:tcW w:w="4819" w:type="dxa"/>
          </w:tcPr>
          <w:p w14:paraId="4424ED00" w14:textId="77777777" w:rsidR="00336F41" w:rsidRDefault="00336F41" w:rsidP="009827AE">
            <w:pPr>
              <w:pStyle w:val="StijlStandaardSVVerdana10ptLinks-175cm"/>
            </w:pPr>
            <w:r>
              <w:t>Amal</w:t>
            </w:r>
          </w:p>
        </w:tc>
        <w:tc>
          <w:tcPr>
            <w:tcW w:w="2481" w:type="dxa"/>
          </w:tcPr>
          <w:p w14:paraId="57A4FCE1" w14:textId="77777777" w:rsidR="00336F41" w:rsidRDefault="00336F41" w:rsidP="009827AE">
            <w:pPr>
              <w:pStyle w:val="StijlStandaardSVVerdana10ptLinks-175cm"/>
              <w:jc w:val="right"/>
            </w:pPr>
            <w:r>
              <w:t>40.470</w:t>
            </w:r>
          </w:p>
        </w:tc>
      </w:tr>
      <w:tr w:rsidR="00336F41" w14:paraId="7246AC8A" w14:textId="77777777" w:rsidTr="009E0943">
        <w:tc>
          <w:tcPr>
            <w:tcW w:w="4819" w:type="dxa"/>
          </w:tcPr>
          <w:p w14:paraId="07E46009" w14:textId="77777777" w:rsidR="00336F41" w:rsidRDefault="00336F41" w:rsidP="009827AE">
            <w:pPr>
              <w:pStyle w:val="StijlStandaardSVVerdana10ptLinks-175cm"/>
            </w:pPr>
            <w:r>
              <w:t>Totaal</w:t>
            </w:r>
          </w:p>
        </w:tc>
        <w:tc>
          <w:tcPr>
            <w:tcW w:w="2481" w:type="dxa"/>
          </w:tcPr>
          <w:p w14:paraId="5F44ED0B" w14:textId="77777777" w:rsidR="00336F41" w:rsidRDefault="00336F41" w:rsidP="009827AE">
            <w:pPr>
              <w:pStyle w:val="StijlStandaardSVVerdana10ptLinks-175cm"/>
              <w:jc w:val="right"/>
            </w:pPr>
            <w:r w:rsidRPr="0094725F">
              <w:t>553.406</w:t>
            </w:r>
          </w:p>
        </w:tc>
      </w:tr>
    </w:tbl>
    <w:p w14:paraId="1C561967" w14:textId="77777777" w:rsidR="00336F41" w:rsidRDefault="00336F41" w:rsidP="00336F41">
      <w:pPr>
        <w:pStyle w:val="StijlStandaardSVVerdana10ptLinks-175cm"/>
      </w:pPr>
    </w:p>
    <w:p w14:paraId="2E195438" w14:textId="1D3E2B58" w:rsidR="00336F41" w:rsidRDefault="00336F41" w:rsidP="00C04E93">
      <w:pPr>
        <w:pStyle w:val="StijlStandaardSVVerdana10ptLinks-175cm"/>
        <w:numPr>
          <w:ilvl w:val="0"/>
          <w:numId w:val="15"/>
        </w:numPr>
        <w:shd w:val="clear" w:color="auto" w:fill="FFFFFF" w:themeFill="background1"/>
        <w:ind w:left="426" w:hanging="426"/>
      </w:pPr>
      <w:r>
        <w:t xml:space="preserve">Op datum van 24/10/2024 zijn er 20 dossiers bij </w:t>
      </w:r>
      <w:proofErr w:type="spellStart"/>
      <w:r>
        <w:t>AgII</w:t>
      </w:r>
      <w:proofErr w:type="spellEnd"/>
      <w:r>
        <w:t xml:space="preserve"> die de termijn van betaling hebben overschreden en naar </w:t>
      </w:r>
      <w:proofErr w:type="spellStart"/>
      <w:r>
        <w:t>Vlabel</w:t>
      </w:r>
      <w:proofErr w:type="spellEnd"/>
      <w:r>
        <w:t xml:space="preserve"> moeten worden doorgestuurd en 1 bij Amal. Bij Atlas zijn er voorlopig geen dossiers om door te sturen. De dossiers werden nog niet doorgestuurd</w:t>
      </w:r>
      <w:r w:rsidR="5AC19AB5">
        <w:t xml:space="preserve"> naar </w:t>
      </w:r>
      <w:proofErr w:type="spellStart"/>
      <w:r w:rsidR="5AC19AB5">
        <w:t>Vlabel</w:t>
      </w:r>
      <w:proofErr w:type="spellEnd"/>
      <w:r w:rsidR="5AC19AB5">
        <w:t>.</w:t>
      </w:r>
      <w:r>
        <w:t xml:space="preserve"> Op 31 juli 2024 heeft </w:t>
      </w:r>
      <w:proofErr w:type="spellStart"/>
      <w:r>
        <w:t>Vlabel</w:t>
      </w:r>
      <w:proofErr w:type="spellEnd"/>
      <w:r>
        <w:t xml:space="preserve"> namelijk besloten om af te stappen van het kaderprotocol zoals eerder werd overgemaakt aan de agentschappen integratie en inburgering.</w:t>
      </w:r>
      <w:r w:rsidR="29192398">
        <w:t xml:space="preserve"> </w:t>
      </w:r>
      <w:proofErr w:type="spellStart"/>
      <w:r w:rsidR="29192398">
        <w:t>Vlabel</w:t>
      </w:r>
      <w:proofErr w:type="spellEnd"/>
      <w:r w:rsidR="29192398">
        <w:t xml:space="preserve"> bereidt momenteel een aangepast kader voor.</w:t>
      </w:r>
    </w:p>
    <w:p w14:paraId="1CC0ACFB" w14:textId="77777777" w:rsidR="00336F41" w:rsidRPr="0045692C" w:rsidRDefault="00336F41" w:rsidP="00336F41">
      <w:pPr>
        <w:pStyle w:val="StijlStandaardSVVerdana10ptLinks-175cm"/>
        <w:shd w:val="clear" w:color="auto" w:fill="FFFFFF" w:themeFill="background1"/>
        <w:rPr>
          <w:highlight w:val="yellow"/>
        </w:rPr>
      </w:pPr>
    </w:p>
    <w:p w14:paraId="26B8DB59" w14:textId="01FDFE85" w:rsidR="00336F41" w:rsidRPr="002D261C" w:rsidRDefault="6B9F97B6" w:rsidP="00C04E93">
      <w:pPr>
        <w:pStyle w:val="StijlStandaardSVVerdana10ptLinks-175cm"/>
        <w:numPr>
          <w:ilvl w:val="0"/>
          <w:numId w:val="15"/>
        </w:numPr>
        <w:shd w:val="clear" w:color="auto" w:fill="FFFFFF" w:themeFill="background1"/>
        <w:ind w:left="426" w:hanging="426"/>
      </w:pPr>
      <w:r w:rsidRPr="002D261C">
        <w:t>Lokale besturen/</w:t>
      </w:r>
      <w:proofErr w:type="spellStart"/>
      <w:r w:rsidRPr="002D261C">
        <w:t>OCMW’s</w:t>
      </w:r>
      <w:proofErr w:type="spellEnd"/>
      <w:r w:rsidRPr="002D261C">
        <w:t xml:space="preserve"> </w:t>
      </w:r>
      <w:r w:rsidR="0E0970B5" w:rsidRPr="002D261C">
        <w:t>kunnen binnen hun lokale autonomie beslissen</w:t>
      </w:r>
      <w:r w:rsidR="00842882" w:rsidRPr="002D261C">
        <w:t xml:space="preserve"> </w:t>
      </w:r>
      <w:r w:rsidRPr="002D261C">
        <w:t>om al dan niet (structureel/occasioneel) te voorzien in een terugbetaling van de retributies voor</w:t>
      </w:r>
      <w:r w:rsidR="3873342B" w:rsidRPr="002D261C">
        <w:t xml:space="preserve"> een</w:t>
      </w:r>
      <w:r w:rsidRPr="002D261C">
        <w:t xml:space="preserve"> inburgering</w:t>
      </w:r>
      <w:r w:rsidR="5C761814" w:rsidRPr="002D261C">
        <w:t>straject</w:t>
      </w:r>
      <w:r w:rsidRPr="002D261C">
        <w:t>. Dit wordt vanuit mijn bevoegdheid niet centraal gemonitord.</w:t>
      </w:r>
    </w:p>
    <w:p w14:paraId="1CC3A7B9" w14:textId="77777777" w:rsidR="00336F41" w:rsidRDefault="00336F41" w:rsidP="009E0943">
      <w:pPr>
        <w:pStyle w:val="StijlStandaardSVVerdana10ptLinks-175cm"/>
        <w:shd w:val="clear" w:color="auto" w:fill="FFFFFF" w:themeFill="background1"/>
        <w:ind w:left="567" w:hanging="567"/>
      </w:pPr>
    </w:p>
    <w:p w14:paraId="19061523" w14:textId="2C66A767" w:rsidR="00336F41" w:rsidRDefault="6B9F97B6" w:rsidP="00C04E93">
      <w:pPr>
        <w:pStyle w:val="StijlStandaardSVVerdana10ptLinks-175cm"/>
        <w:numPr>
          <w:ilvl w:val="0"/>
          <w:numId w:val="15"/>
        </w:numPr>
        <w:shd w:val="clear" w:color="auto" w:fill="FFFFFF" w:themeFill="background1"/>
        <w:ind w:left="426" w:hanging="426"/>
      </w:pPr>
      <w:r>
        <w:t xml:space="preserve">Een inburgeringstraject heeft een grote maatschappelijke meerwaarde, in die zin dat het inburgeraars kennis biedt van onze samenleving, de Nederlandse taal aanleert, een toegangspoort biedt tot de arbeidsmarkt en een informeel sociaal netwerk. Het traject moet de zelfredzaamheid van inburgeraars stimuleren en een opstap richting verdere integratie zijn. Het is dan ook het streefdoel zoveel mogelijk mensen te laten deelnemen aan het traject en in het bijzonder rechthebbende inburgeraars daartoe te motiveren. Daarom is het belangrijk het inburgeringstraject zo toegankelijk mogelijk te organiseren. Daaruit volgt dat een vrijstelling van de retributies ingevoerd werd voor wie het omwille van financiële redenen moeilijk is die te betalen. Om te sporen met de regeling voor wat NT2 betreft werden dezelfde gronden gehanteerd die al in het decreet volwassenenonderwijs waren opgenomen. Cf. het regeerakkoord zullen we bekijken om de vrijstellingsgronden te wijzigen naar </w:t>
      </w:r>
      <w:proofErr w:type="spellStart"/>
      <w:r>
        <w:t>inkomensgerelateerde</w:t>
      </w:r>
      <w:proofErr w:type="spellEnd"/>
      <w:r>
        <w:t xml:space="preserve"> gronden in de plaats van gronden op basis van statuten.  </w:t>
      </w:r>
    </w:p>
    <w:p w14:paraId="4DDBC22A" w14:textId="77777777" w:rsidR="005709AD" w:rsidRDefault="005709AD" w:rsidP="005709AD">
      <w:pPr>
        <w:pStyle w:val="StijlStandaardSVVerdana10ptLinks-175cm"/>
        <w:shd w:val="clear" w:color="auto" w:fill="FFFFFF" w:themeFill="background1"/>
      </w:pPr>
    </w:p>
    <w:p w14:paraId="0E15B4A0" w14:textId="66819C3D" w:rsidR="005709AD" w:rsidRPr="00661755" w:rsidRDefault="005709AD" w:rsidP="00C04E93">
      <w:pPr>
        <w:pStyle w:val="StijlStandaardSVVerdana10ptLinks-175cm"/>
        <w:shd w:val="clear" w:color="auto" w:fill="FFFFFF" w:themeFill="background1"/>
        <w:ind w:left="426"/>
      </w:pPr>
      <w:r w:rsidRPr="005709AD">
        <w:t>Daarnaast worden inburgeraars die ingeschreven zijn in het Rijksregister in een gemeente van het tweetalige gebied Brussel-Hoofdstad vrijgesteld, omwille van de specifieke context van Brussel. De decreetwijziging gebeurde immers op Vlaams niveau. Om zoveel mogelijk het Vlaamse inburgeringstraject te stimuleren en een aantrekkelijke positie te behouden ten opzichte van het aanbod dat vanuit de andere regio’s wordt aangeboden in Brussel, moeten Brusselse inburgeraars geen retributies betalen voor het Vlaamse inburgeringstraject</w:t>
      </w:r>
    </w:p>
    <w:p w14:paraId="5EE6C31F" w14:textId="77777777" w:rsidR="00336F41" w:rsidRDefault="00336F41" w:rsidP="00CE14B2">
      <w:pPr>
        <w:pStyle w:val="StijlStandaardSVVerdana10ptLinks-175cm"/>
        <w:shd w:val="clear" w:color="auto" w:fill="FFFFFF" w:themeFill="background1"/>
      </w:pPr>
    </w:p>
    <w:p w14:paraId="55D8732C" w14:textId="7C25565C" w:rsidR="00336F41" w:rsidRPr="00CE14B2" w:rsidRDefault="7D588860" w:rsidP="00C04E93">
      <w:pPr>
        <w:autoSpaceDE w:val="0"/>
        <w:autoSpaceDN w:val="0"/>
        <w:adjustRightInd w:val="0"/>
        <w:ind w:left="426" w:hanging="426"/>
      </w:pPr>
      <w:r>
        <w:t>6-</w:t>
      </w:r>
      <w:r w:rsidR="6B9F97B6">
        <w:t>8.</w:t>
      </w:r>
      <w:r w:rsidR="00CE14B2">
        <w:tab/>
      </w:r>
      <w:r w:rsidR="6B9F97B6">
        <w:t xml:space="preserve">Zoals vermeld is het uitgangspunt dat personen voor wie het moeilijk is een retributie te betalen, daarvan vrijgesteld kunnen worden in functie van de toegankelijkheid en maximale deelname aan het inburgeringstraject. Volgend engagement werd ter zake in het regeerakkoord opgenomen: </w:t>
      </w:r>
      <w:r w:rsidR="6B9F97B6" w:rsidRPr="16E47A93">
        <w:rPr>
          <w:i/>
          <w:iCs/>
        </w:rPr>
        <w:t xml:space="preserve">‘De vrijstellingscategorieën worden aangepast zodat ze </w:t>
      </w:r>
      <w:proofErr w:type="spellStart"/>
      <w:r w:rsidR="6B9F97B6" w:rsidRPr="16E47A93">
        <w:rPr>
          <w:i/>
          <w:iCs/>
        </w:rPr>
        <w:t>inkomensgerelateerd</w:t>
      </w:r>
      <w:proofErr w:type="spellEnd"/>
      <w:r w:rsidR="6B9F97B6" w:rsidRPr="16E47A93">
        <w:rPr>
          <w:i/>
          <w:iCs/>
        </w:rPr>
        <w:t xml:space="preserve"> worden en niet meer op basis van statuten worden toegekend. Ook bij nieuwkomers gaan we uit van het principe dat wie kan bijdragen, ook effectief een </w:t>
      </w:r>
      <w:r w:rsidR="6B9F97B6" w:rsidRPr="002D261C">
        <w:rPr>
          <w:i/>
          <w:iCs/>
        </w:rPr>
        <w:t>vergoeding betaalt. Er komt een onderzoek naar het effect hiervan op de vrijwillige inburgeraars.’</w:t>
      </w:r>
      <w:r w:rsidR="28926776" w:rsidRPr="002D261C">
        <w:rPr>
          <w:i/>
          <w:iCs/>
        </w:rPr>
        <w:t xml:space="preserve"> </w:t>
      </w:r>
      <w:r w:rsidR="28926776" w:rsidRPr="002D261C">
        <w:t xml:space="preserve">De vrijstellingen zullen dus gebaseerd worden op het inkomen van een betrokken persoon en niet meer op basis van een specifiek statuut. </w:t>
      </w:r>
    </w:p>
    <w:sectPr w:rsidR="00336F41" w:rsidRPr="00CE14B2" w:rsidSect="00C04E93">
      <w:headerReference w:type="even" r:id="rId11"/>
      <w:footerReference w:type="even" r:id="rId12"/>
      <w:footerReference w:type="default" r:id="rId13"/>
      <w:type w:val="continuous"/>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98B1C" w14:textId="77777777" w:rsidR="00C61A25" w:rsidRDefault="00C61A25">
      <w:r>
        <w:separator/>
      </w:r>
    </w:p>
  </w:endnote>
  <w:endnote w:type="continuationSeparator" w:id="0">
    <w:p w14:paraId="76F70B34" w14:textId="77777777" w:rsidR="00C61A25" w:rsidRDefault="00C6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8FBEC" w14:textId="77777777" w:rsidR="00D75FB1" w:rsidRDefault="00464E6D"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711579D4"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9EB45" w14:textId="77777777" w:rsidR="00D75FB1" w:rsidRDefault="00D75FB1" w:rsidP="001A6DC6">
    <w:pPr>
      <w:pStyle w:val="Voettekst"/>
      <w:framePr w:wrap="around" w:vAnchor="text" w:hAnchor="margin" w:xAlign="right" w:y="1"/>
      <w:rPr>
        <w:rStyle w:val="Paginanummer"/>
      </w:rPr>
    </w:pPr>
  </w:p>
  <w:p w14:paraId="02837875" w14:textId="77777777" w:rsidR="00D75FB1" w:rsidRDefault="00D75FB1" w:rsidP="00D75FB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C0211" w14:textId="77777777" w:rsidR="00C61A25" w:rsidRDefault="00C61A25">
      <w:r>
        <w:separator/>
      </w:r>
    </w:p>
  </w:footnote>
  <w:footnote w:type="continuationSeparator" w:id="0">
    <w:p w14:paraId="5F6E9714" w14:textId="77777777" w:rsidR="00C61A25" w:rsidRDefault="00C61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8F336" w14:textId="77777777" w:rsidR="0088108E" w:rsidRDefault="00464E6D"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0A7736F6"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6634"/>
    <w:multiLevelType w:val="hybridMultilevel"/>
    <w:tmpl w:val="5344CD7A"/>
    <w:lvl w:ilvl="0" w:tplc="B3C8B7AA">
      <w:start w:val="1"/>
      <w:numFmt w:val="decimal"/>
      <w:lvlText w:val="%1."/>
      <w:lvlJc w:val="left"/>
      <w:pPr>
        <w:tabs>
          <w:tab w:val="num" w:pos="360"/>
        </w:tabs>
        <w:ind w:left="360" w:hanging="360"/>
      </w:pPr>
    </w:lvl>
    <w:lvl w:ilvl="1" w:tplc="A7109AD0" w:tentative="1">
      <w:start w:val="1"/>
      <w:numFmt w:val="lowerLetter"/>
      <w:lvlText w:val="%2."/>
      <w:lvlJc w:val="left"/>
      <w:pPr>
        <w:tabs>
          <w:tab w:val="num" w:pos="1080"/>
        </w:tabs>
        <w:ind w:left="1080" w:hanging="360"/>
      </w:pPr>
    </w:lvl>
    <w:lvl w:ilvl="2" w:tplc="A8321262" w:tentative="1">
      <w:start w:val="1"/>
      <w:numFmt w:val="lowerRoman"/>
      <w:lvlText w:val="%3."/>
      <w:lvlJc w:val="right"/>
      <w:pPr>
        <w:tabs>
          <w:tab w:val="num" w:pos="1800"/>
        </w:tabs>
        <w:ind w:left="1800" w:hanging="180"/>
      </w:pPr>
    </w:lvl>
    <w:lvl w:ilvl="3" w:tplc="8EDE550E" w:tentative="1">
      <w:start w:val="1"/>
      <w:numFmt w:val="decimal"/>
      <w:lvlText w:val="%4."/>
      <w:lvlJc w:val="left"/>
      <w:pPr>
        <w:tabs>
          <w:tab w:val="num" w:pos="2520"/>
        </w:tabs>
        <w:ind w:left="2520" w:hanging="360"/>
      </w:pPr>
    </w:lvl>
    <w:lvl w:ilvl="4" w:tplc="6FEE8DD8" w:tentative="1">
      <w:start w:val="1"/>
      <w:numFmt w:val="lowerLetter"/>
      <w:lvlText w:val="%5."/>
      <w:lvlJc w:val="left"/>
      <w:pPr>
        <w:tabs>
          <w:tab w:val="num" w:pos="3240"/>
        </w:tabs>
        <w:ind w:left="3240" w:hanging="360"/>
      </w:pPr>
    </w:lvl>
    <w:lvl w:ilvl="5" w:tplc="02340406" w:tentative="1">
      <w:start w:val="1"/>
      <w:numFmt w:val="lowerRoman"/>
      <w:lvlText w:val="%6."/>
      <w:lvlJc w:val="right"/>
      <w:pPr>
        <w:tabs>
          <w:tab w:val="num" w:pos="3960"/>
        </w:tabs>
        <w:ind w:left="3960" w:hanging="180"/>
      </w:pPr>
    </w:lvl>
    <w:lvl w:ilvl="6" w:tplc="9ED03F16" w:tentative="1">
      <w:start w:val="1"/>
      <w:numFmt w:val="decimal"/>
      <w:lvlText w:val="%7."/>
      <w:lvlJc w:val="left"/>
      <w:pPr>
        <w:tabs>
          <w:tab w:val="num" w:pos="4680"/>
        </w:tabs>
        <w:ind w:left="4680" w:hanging="360"/>
      </w:pPr>
    </w:lvl>
    <w:lvl w:ilvl="7" w:tplc="94A86684" w:tentative="1">
      <w:start w:val="1"/>
      <w:numFmt w:val="lowerLetter"/>
      <w:lvlText w:val="%8."/>
      <w:lvlJc w:val="left"/>
      <w:pPr>
        <w:tabs>
          <w:tab w:val="num" w:pos="5400"/>
        </w:tabs>
        <w:ind w:left="5400" w:hanging="360"/>
      </w:pPr>
    </w:lvl>
    <w:lvl w:ilvl="8" w:tplc="552019E4"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A76C8642"/>
    <w:lvl w:ilvl="0">
      <w:start w:val="1"/>
      <w:numFmt w:val="decimal"/>
      <w:pStyle w:val="Nummering"/>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B5E8305E">
      <w:start w:val="1"/>
      <w:numFmt w:val="bullet"/>
      <w:pStyle w:val="Lijstalinea1"/>
      <w:lvlText w:val=""/>
      <w:lvlJc w:val="left"/>
      <w:pPr>
        <w:tabs>
          <w:tab w:val="num" w:pos="-360"/>
        </w:tabs>
        <w:ind w:left="360" w:hanging="360"/>
      </w:pPr>
      <w:rPr>
        <w:rFonts w:ascii="Symbol" w:hAnsi="Symbol" w:hint="default"/>
        <w:color w:val="808080"/>
      </w:rPr>
    </w:lvl>
    <w:lvl w:ilvl="1" w:tplc="E2EAB2BE" w:tentative="1">
      <w:start w:val="1"/>
      <w:numFmt w:val="bullet"/>
      <w:lvlText w:val="o"/>
      <w:lvlJc w:val="left"/>
      <w:pPr>
        <w:ind w:left="1080" w:hanging="360"/>
      </w:pPr>
      <w:rPr>
        <w:rFonts w:ascii="Courier New" w:hAnsi="Courier New" w:cs="Courier New" w:hint="default"/>
      </w:rPr>
    </w:lvl>
    <w:lvl w:ilvl="2" w:tplc="BED0DCB6" w:tentative="1">
      <w:start w:val="1"/>
      <w:numFmt w:val="bullet"/>
      <w:lvlText w:val=""/>
      <w:lvlJc w:val="left"/>
      <w:pPr>
        <w:ind w:left="1800" w:hanging="360"/>
      </w:pPr>
      <w:rPr>
        <w:rFonts w:ascii="Wingdings" w:hAnsi="Wingdings" w:hint="default"/>
      </w:rPr>
    </w:lvl>
    <w:lvl w:ilvl="3" w:tplc="D584A56C" w:tentative="1">
      <w:start w:val="1"/>
      <w:numFmt w:val="bullet"/>
      <w:lvlText w:val=""/>
      <w:lvlJc w:val="left"/>
      <w:pPr>
        <w:ind w:left="2520" w:hanging="360"/>
      </w:pPr>
      <w:rPr>
        <w:rFonts w:ascii="Symbol" w:hAnsi="Symbol" w:hint="default"/>
      </w:rPr>
    </w:lvl>
    <w:lvl w:ilvl="4" w:tplc="AB2899D2" w:tentative="1">
      <w:start w:val="1"/>
      <w:numFmt w:val="bullet"/>
      <w:lvlText w:val="o"/>
      <w:lvlJc w:val="left"/>
      <w:pPr>
        <w:ind w:left="3240" w:hanging="360"/>
      </w:pPr>
      <w:rPr>
        <w:rFonts w:ascii="Courier New" w:hAnsi="Courier New" w:cs="Courier New" w:hint="default"/>
      </w:rPr>
    </w:lvl>
    <w:lvl w:ilvl="5" w:tplc="7F0EB96E" w:tentative="1">
      <w:start w:val="1"/>
      <w:numFmt w:val="bullet"/>
      <w:lvlText w:val=""/>
      <w:lvlJc w:val="left"/>
      <w:pPr>
        <w:ind w:left="3960" w:hanging="360"/>
      </w:pPr>
      <w:rPr>
        <w:rFonts w:ascii="Wingdings" w:hAnsi="Wingdings" w:hint="default"/>
      </w:rPr>
    </w:lvl>
    <w:lvl w:ilvl="6" w:tplc="43CEB2EA" w:tentative="1">
      <w:start w:val="1"/>
      <w:numFmt w:val="bullet"/>
      <w:lvlText w:val=""/>
      <w:lvlJc w:val="left"/>
      <w:pPr>
        <w:ind w:left="4680" w:hanging="360"/>
      </w:pPr>
      <w:rPr>
        <w:rFonts w:ascii="Symbol" w:hAnsi="Symbol" w:hint="default"/>
      </w:rPr>
    </w:lvl>
    <w:lvl w:ilvl="7" w:tplc="458EB88C" w:tentative="1">
      <w:start w:val="1"/>
      <w:numFmt w:val="bullet"/>
      <w:lvlText w:val="o"/>
      <w:lvlJc w:val="left"/>
      <w:pPr>
        <w:ind w:left="5400" w:hanging="360"/>
      </w:pPr>
      <w:rPr>
        <w:rFonts w:ascii="Courier New" w:hAnsi="Courier New" w:cs="Courier New" w:hint="default"/>
      </w:rPr>
    </w:lvl>
    <w:lvl w:ilvl="8" w:tplc="7D0254E0" w:tentative="1">
      <w:start w:val="1"/>
      <w:numFmt w:val="bullet"/>
      <w:lvlText w:val=""/>
      <w:lvlJc w:val="left"/>
      <w:pPr>
        <w:ind w:left="6120" w:hanging="360"/>
      </w:pPr>
      <w:rPr>
        <w:rFonts w:ascii="Wingdings" w:hAnsi="Wingdings" w:hint="default"/>
      </w:rPr>
    </w:lvl>
  </w:abstractNum>
  <w:abstractNum w:abstractNumId="5" w15:restartNumberingAfterBreak="0">
    <w:nsid w:val="34624FF4"/>
    <w:multiLevelType w:val="hybridMultilevel"/>
    <w:tmpl w:val="C4F0D514"/>
    <w:lvl w:ilvl="0" w:tplc="0813000F">
      <w:start w:val="1"/>
      <w:numFmt w:val="decimal"/>
      <w:lvlText w:val="%1."/>
      <w:lvlJc w:val="left"/>
      <w:pPr>
        <w:ind w:left="720" w:hanging="360"/>
      </w:pPr>
      <w:rPr>
        <w:rFonts w:hint="default"/>
      </w:rPr>
    </w:lvl>
    <w:lvl w:ilvl="1" w:tplc="C674DF48">
      <w:numFmt w:val="bullet"/>
      <w:lvlText w:val="–"/>
      <w:lvlJc w:val="left"/>
      <w:pPr>
        <w:ind w:left="1440" w:hanging="360"/>
      </w:pPr>
      <w:rPr>
        <w:rFonts w:ascii="Verdana" w:eastAsia="Times New Roman" w:hAnsi="Verdana" w:cs="Times New Roman"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17468"/>
    <w:multiLevelType w:val="hybridMultilevel"/>
    <w:tmpl w:val="904C4670"/>
    <w:lvl w:ilvl="0" w:tplc="2416D304">
      <w:start w:val="1"/>
      <w:numFmt w:val="bullet"/>
      <w:lvlText w:val="o"/>
      <w:lvlJc w:val="left"/>
      <w:pPr>
        <w:ind w:left="720" w:hanging="360"/>
      </w:pPr>
      <w:rPr>
        <w:rFonts w:ascii="Courier New" w:hAnsi="Courier New" w:cs="Courier New" w:hint="default"/>
      </w:rPr>
    </w:lvl>
    <w:lvl w:ilvl="1" w:tplc="D35270E2" w:tentative="1">
      <w:start w:val="1"/>
      <w:numFmt w:val="bullet"/>
      <w:lvlText w:val="o"/>
      <w:lvlJc w:val="left"/>
      <w:pPr>
        <w:ind w:left="1440" w:hanging="360"/>
      </w:pPr>
      <w:rPr>
        <w:rFonts w:ascii="Courier New" w:hAnsi="Courier New" w:cs="Courier New" w:hint="default"/>
      </w:rPr>
    </w:lvl>
    <w:lvl w:ilvl="2" w:tplc="05CA84EE" w:tentative="1">
      <w:start w:val="1"/>
      <w:numFmt w:val="bullet"/>
      <w:lvlText w:val=""/>
      <w:lvlJc w:val="left"/>
      <w:pPr>
        <w:ind w:left="2160" w:hanging="360"/>
      </w:pPr>
      <w:rPr>
        <w:rFonts w:ascii="Wingdings" w:hAnsi="Wingdings" w:hint="default"/>
      </w:rPr>
    </w:lvl>
    <w:lvl w:ilvl="3" w:tplc="0D221C7C" w:tentative="1">
      <w:start w:val="1"/>
      <w:numFmt w:val="bullet"/>
      <w:lvlText w:val=""/>
      <w:lvlJc w:val="left"/>
      <w:pPr>
        <w:ind w:left="2880" w:hanging="360"/>
      </w:pPr>
      <w:rPr>
        <w:rFonts w:ascii="Symbol" w:hAnsi="Symbol" w:hint="default"/>
      </w:rPr>
    </w:lvl>
    <w:lvl w:ilvl="4" w:tplc="046284B8" w:tentative="1">
      <w:start w:val="1"/>
      <w:numFmt w:val="bullet"/>
      <w:lvlText w:val="o"/>
      <w:lvlJc w:val="left"/>
      <w:pPr>
        <w:ind w:left="3600" w:hanging="360"/>
      </w:pPr>
      <w:rPr>
        <w:rFonts w:ascii="Courier New" w:hAnsi="Courier New" w:cs="Courier New" w:hint="default"/>
      </w:rPr>
    </w:lvl>
    <w:lvl w:ilvl="5" w:tplc="E7D467FC" w:tentative="1">
      <w:start w:val="1"/>
      <w:numFmt w:val="bullet"/>
      <w:lvlText w:val=""/>
      <w:lvlJc w:val="left"/>
      <w:pPr>
        <w:ind w:left="4320" w:hanging="360"/>
      </w:pPr>
      <w:rPr>
        <w:rFonts w:ascii="Wingdings" w:hAnsi="Wingdings" w:hint="default"/>
      </w:rPr>
    </w:lvl>
    <w:lvl w:ilvl="6" w:tplc="C7D6D8C8" w:tentative="1">
      <w:start w:val="1"/>
      <w:numFmt w:val="bullet"/>
      <w:lvlText w:val=""/>
      <w:lvlJc w:val="left"/>
      <w:pPr>
        <w:ind w:left="5040" w:hanging="360"/>
      </w:pPr>
      <w:rPr>
        <w:rFonts w:ascii="Symbol" w:hAnsi="Symbol" w:hint="default"/>
      </w:rPr>
    </w:lvl>
    <w:lvl w:ilvl="7" w:tplc="F788CA3C" w:tentative="1">
      <w:start w:val="1"/>
      <w:numFmt w:val="bullet"/>
      <w:lvlText w:val="o"/>
      <w:lvlJc w:val="left"/>
      <w:pPr>
        <w:ind w:left="5760" w:hanging="360"/>
      </w:pPr>
      <w:rPr>
        <w:rFonts w:ascii="Courier New" w:hAnsi="Courier New" w:cs="Courier New" w:hint="default"/>
      </w:rPr>
    </w:lvl>
    <w:lvl w:ilvl="8" w:tplc="D76C076C" w:tentative="1">
      <w:start w:val="1"/>
      <w:numFmt w:val="bullet"/>
      <w:lvlText w:val=""/>
      <w:lvlJc w:val="left"/>
      <w:pPr>
        <w:ind w:left="6480" w:hanging="360"/>
      </w:pPr>
      <w:rPr>
        <w:rFonts w:ascii="Wingdings" w:hAnsi="Wingdings" w:hint="default"/>
      </w:rPr>
    </w:lvl>
  </w:abstractNum>
  <w:abstractNum w:abstractNumId="8" w15:restartNumberingAfterBreak="0">
    <w:nsid w:val="48AF25B8"/>
    <w:multiLevelType w:val="hybridMultilevel"/>
    <w:tmpl w:val="A31017F6"/>
    <w:lvl w:ilvl="0" w:tplc="025CE4F6">
      <w:start w:val="1"/>
      <w:numFmt w:val="bullet"/>
      <w:lvlText w:val=""/>
      <w:lvlJc w:val="left"/>
      <w:pPr>
        <w:ind w:left="360" w:hanging="360"/>
      </w:pPr>
      <w:rPr>
        <w:rFonts w:ascii="Symbol" w:hAnsi="Symbol" w:hint="default"/>
      </w:rPr>
    </w:lvl>
    <w:lvl w:ilvl="1" w:tplc="394A4436" w:tentative="1">
      <w:start w:val="1"/>
      <w:numFmt w:val="bullet"/>
      <w:lvlText w:val="o"/>
      <w:lvlJc w:val="left"/>
      <w:pPr>
        <w:ind w:left="1080" w:hanging="360"/>
      </w:pPr>
      <w:rPr>
        <w:rFonts w:ascii="Courier New" w:hAnsi="Courier New" w:cs="Courier New" w:hint="default"/>
      </w:rPr>
    </w:lvl>
    <w:lvl w:ilvl="2" w:tplc="2D684118" w:tentative="1">
      <w:start w:val="1"/>
      <w:numFmt w:val="bullet"/>
      <w:lvlText w:val=""/>
      <w:lvlJc w:val="left"/>
      <w:pPr>
        <w:ind w:left="1800" w:hanging="360"/>
      </w:pPr>
      <w:rPr>
        <w:rFonts w:ascii="Wingdings" w:hAnsi="Wingdings" w:hint="default"/>
      </w:rPr>
    </w:lvl>
    <w:lvl w:ilvl="3" w:tplc="AC0E32A8" w:tentative="1">
      <w:start w:val="1"/>
      <w:numFmt w:val="bullet"/>
      <w:lvlText w:val=""/>
      <w:lvlJc w:val="left"/>
      <w:pPr>
        <w:ind w:left="2520" w:hanging="360"/>
      </w:pPr>
      <w:rPr>
        <w:rFonts w:ascii="Symbol" w:hAnsi="Symbol" w:hint="default"/>
      </w:rPr>
    </w:lvl>
    <w:lvl w:ilvl="4" w:tplc="B58AFB4A" w:tentative="1">
      <w:start w:val="1"/>
      <w:numFmt w:val="bullet"/>
      <w:lvlText w:val="o"/>
      <w:lvlJc w:val="left"/>
      <w:pPr>
        <w:ind w:left="3240" w:hanging="360"/>
      </w:pPr>
      <w:rPr>
        <w:rFonts w:ascii="Courier New" w:hAnsi="Courier New" w:cs="Courier New" w:hint="default"/>
      </w:rPr>
    </w:lvl>
    <w:lvl w:ilvl="5" w:tplc="11E60CAE" w:tentative="1">
      <w:start w:val="1"/>
      <w:numFmt w:val="bullet"/>
      <w:lvlText w:val=""/>
      <w:lvlJc w:val="left"/>
      <w:pPr>
        <w:ind w:left="3960" w:hanging="360"/>
      </w:pPr>
      <w:rPr>
        <w:rFonts w:ascii="Wingdings" w:hAnsi="Wingdings" w:hint="default"/>
      </w:rPr>
    </w:lvl>
    <w:lvl w:ilvl="6" w:tplc="B798F72A" w:tentative="1">
      <w:start w:val="1"/>
      <w:numFmt w:val="bullet"/>
      <w:lvlText w:val=""/>
      <w:lvlJc w:val="left"/>
      <w:pPr>
        <w:ind w:left="4680" w:hanging="360"/>
      </w:pPr>
      <w:rPr>
        <w:rFonts w:ascii="Symbol" w:hAnsi="Symbol" w:hint="default"/>
      </w:rPr>
    </w:lvl>
    <w:lvl w:ilvl="7" w:tplc="B3AC706E" w:tentative="1">
      <w:start w:val="1"/>
      <w:numFmt w:val="bullet"/>
      <w:lvlText w:val="o"/>
      <w:lvlJc w:val="left"/>
      <w:pPr>
        <w:ind w:left="5400" w:hanging="360"/>
      </w:pPr>
      <w:rPr>
        <w:rFonts w:ascii="Courier New" w:hAnsi="Courier New" w:cs="Courier New" w:hint="default"/>
      </w:rPr>
    </w:lvl>
    <w:lvl w:ilvl="8" w:tplc="B96C139C" w:tentative="1">
      <w:start w:val="1"/>
      <w:numFmt w:val="bullet"/>
      <w:lvlText w:val=""/>
      <w:lvlJc w:val="left"/>
      <w:pPr>
        <w:ind w:left="6120" w:hanging="360"/>
      </w:pPr>
      <w:rPr>
        <w:rFonts w:ascii="Wingdings" w:hAnsi="Wingdings" w:hint="default"/>
      </w:rPr>
    </w:lvl>
  </w:abstractNum>
  <w:abstractNum w:abstractNumId="9"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04A523F"/>
    <w:multiLevelType w:val="hybridMultilevel"/>
    <w:tmpl w:val="DF263B44"/>
    <w:lvl w:ilvl="0" w:tplc="37D2056C">
      <w:start w:val="1"/>
      <w:numFmt w:val="bullet"/>
      <w:lvlText w:val=""/>
      <w:lvlJc w:val="left"/>
      <w:pPr>
        <w:tabs>
          <w:tab w:val="num" w:pos="0"/>
        </w:tabs>
        <w:ind w:left="720" w:hanging="360"/>
      </w:pPr>
      <w:rPr>
        <w:rFonts w:ascii="Symbol" w:hAnsi="Symbol" w:hint="default"/>
        <w:color w:val="808080"/>
      </w:rPr>
    </w:lvl>
    <w:lvl w:ilvl="1" w:tplc="59B61B6C" w:tentative="1">
      <w:start w:val="1"/>
      <w:numFmt w:val="bullet"/>
      <w:lvlText w:val="o"/>
      <w:lvlJc w:val="left"/>
      <w:pPr>
        <w:tabs>
          <w:tab w:val="num" w:pos="1440"/>
        </w:tabs>
        <w:ind w:left="1440" w:hanging="360"/>
      </w:pPr>
      <w:rPr>
        <w:rFonts w:ascii="Courier New" w:hAnsi="Courier New" w:cs="Courier New" w:hint="default"/>
      </w:rPr>
    </w:lvl>
    <w:lvl w:ilvl="2" w:tplc="3ED4D496" w:tentative="1">
      <w:start w:val="1"/>
      <w:numFmt w:val="bullet"/>
      <w:lvlText w:val=""/>
      <w:lvlJc w:val="left"/>
      <w:pPr>
        <w:tabs>
          <w:tab w:val="num" w:pos="2160"/>
        </w:tabs>
        <w:ind w:left="2160" w:hanging="360"/>
      </w:pPr>
      <w:rPr>
        <w:rFonts w:ascii="Wingdings" w:hAnsi="Wingdings" w:hint="default"/>
      </w:rPr>
    </w:lvl>
    <w:lvl w:ilvl="3" w:tplc="2F38C604" w:tentative="1">
      <w:start w:val="1"/>
      <w:numFmt w:val="bullet"/>
      <w:lvlText w:val=""/>
      <w:lvlJc w:val="left"/>
      <w:pPr>
        <w:tabs>
          <w:tab w:val="num" w:pos="2880"/>
        </w:tabs>
        <w:ind w:left="2880" w:hanging="360"/>
      </w:pPr>
      <w:rPr>
        <w:rFonts w:ascii="Symbol" w:hAnsi="Symbol" w:hint="default"/>
      </w:rPr>
    </w:lvl>
    <w:lvl w:ilvl="4" w:tplc="2DC2CE56" w:tentative="1">
      <w:start w:val="1"/>
      <w:numFmt w:val="bullet"/>
      <w:lvlText w:val="o"/>
      <w:lvlJc w:val="left"/>
      <w:pPr>
        <w:tabs>
          <w:tab w:val="num" w:pos="3600"/>
        </w:tabs>
        <w:ind w:left="3600" w:hanging="360"/>
      </w:pPr>
      <w:rPr>
        <w:rFonts w:ascii="Courier New" w:hAnsi="Courier New" w:cs="Courier New" w:hint="default"/>
      </w:rPr>
    </w:lvl>
    <w:lvl w:ilvl="5" w:tplc="4E2EAA84" w:tentative="1">
      <w:start w:val="1"/>
      <w:numFmt w:val="bullet"/>
      <w:lvlText w:val=""/>
      <w:lvlJc w:val="left"/>
      <w:pPr>
        <w:tabs>
          <w:tab w:val="num" w:pos="4320"/>
        </w:tabs>
        <w:ind w:left="4320" w:hanging="360"/>
      </w:pPr>
      <w:rPr>
        <w:rFonts w:ascii="Wingdings" w:hAnsi="Wingdings" w:hint="default"/>
      </w:rPr>
    </w:lvl>
    <w:lvl w:ilvl="6" w:tplc="3976E156" w:tentative="1">
      <w:start w:val="1"/>
      <w:numFmt w:val="bullet"/>
      <w:lvlText w:val=""/>
      <w:lvlJc w:val="left"/>
      <w:pPr>
        <w:tabs>
          <w:tab w:val="num" w:pos="5040"/>
        </w:tabs>
        <w:ind w:left="5040" w:hanging="360"/>
      </w:pPr>
      <w:rPr>
        <w:rFonts w:ascii="Symbol" w:hAnsi="Symbol" w:hint="default"/>
      </w:rPr>
    </w:lvl>
    <w:lvl w:ilvl="7" w:tplc="1C8CAEC2" w:tentative="1">
      <w:start w:val="1"/>
      <w:numFmt w:val="bullet"/>
      <w:lvlText w:val="o"/>
      <w:lvlJc w:val="left"/>
      <w:pPr>
        <w:tabs>
          <w:tab w:val="num" w:pos="5760"/>
        </w:tabs>
        <w:ind w:left="5760" w:hanging="360"/>
      </w:pPr>
      <w:rPr>
        <w:rFonts w:ascii="Courier New" w:hAnsi="Courier New" w:cs="Courier New" w:hint="default"/>
      </w:rPr>
    </w:lvl>
    <w:lvl w:ilvl="8" w:tplc="F9A83222" w:tentative="1">
      <w:start w:val="1"/>
      <w:numFmt w:val="bullet"/>
      <w:lvlText w:val=""/>
      <w:lvlJc w:val="left"/>
      <w:pPr>
        <w:tabs>
          <w:tab w:val="num" w:pos="6480"/>
        </w:tabs>
        <w:ind w:left="6480" w:hanging="360"/>
      </w:pPr>
      <w:rPr>
        <w:rFonts w:ascii="Wingdings" w:hAnsi="Wingdings" w:hint="default"/>
      </w:rPr>
    </w:lvl>
  </w:abstractNum>
  <w:num w:numId="1" w16cid:durableId="1329745114">
    <w:abstractNumId w:val="7"/>
  </w:num>
  <w:num w:numId="2" w16cid:durableId="1472164479">
    <w:abstractNumId w:val="4"/>
  </w:num>
  <w:num w:numId="3" w16cid:durableId="372534663">
    <w:abstractNumId w:val="10"/>
  </w:num>
  <w:num w:numId="4" w16cid:durableId="958879243">
    <w:abstractNumId w:val="0"/>
  </w:num>
  <w:num w:numId="5" w16cid:durableId="1230071481">
    <w:abstractNumId w:val="6"/>
  </w:num>
  <w:num w:numId="6" w16cid:durableId="1968512639">
    <w:abstractNumId w:val="9"/>
  </w:num>
  <w:num w:numId="7" w16cid:durableId="1959795224">
    <w:abstractNumId w:val="1"/>
  </w:num>
  <w:num w:numId="8" w16cid:durableId="554778170">
    <w:abstractNumId w:val="2"/>
  </w:num>
  <w:num w:numId="9" w16cid:durableId="258031723">
    <w:abstractNumId w:val="4"/>
  </w:num>
  <w:num w:numId="10" w16cid:durableId="1672567505">
    <w:abstractNumId w:val="4"/>
  </w:num>
  <w:num w:numId="11" w16cid:durableId="1108692938">
    <w:abstractNumId w:val="4"/>
  </w:num>
  <w:num w:numId="12" w16cid:durableId="948391996">
    <w:abstractNumId w:val="4"/>
  </w:num>
  <w:num w:numId="13" w16cid:durableId="1083067991">
    <w:abstractNumId w:val="8"/>
  </w:num>
  <w:num w:numId="14" w16cid:durableId="1476216071">
    <w:abstractNumId w:val="3"/>
  </w:num>
  <w:num w:numId="15" w16cid:durableId="648705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2F"/>
    <w:rsid w:val="00010CFD"/>
    <w:rsid w:val="00020CFF"/>
    <w:rsid w:val="0009480E"/>
    <w:rsid w:val="000C49BA"/>
    <w:rsid w:val="000F69A5"/>
    <w:rsid w:val="00113692"/>
    <w:rsid w:val="00133D4E"/>
    <w:rsid w:val="0013588E"/>
    <w:rsid w:val="00140D4A"/>
    <w:rsid w:val="00160200"/>
    <w:rsid w:val="001617D9"/>
    <w:rsid w:val="00171C19"/>
    <w:rsid w:val="00190774"/>
    <w:rsid w:val="001A6DC6"/>
    <w:rsid w:val="002018AF"/>
    <w:rsid w:val="00201A6D"/>
    <w:rsid w:val="00202352"/>
    <w:rsid w:val="00204C10"/>
    <w:rsid w:val="0022557A"/>
    <w:rsid w:val="00230A44"/>
    <w:rsid w:val="00236959"/>
    <w:rsid w:val="00282D9B"/>
    <w:rsid w:val="00283AD6"/>
    <w:rsid w:val="00284BC3"/>
    <w:rsid w:val="00290D30"/>
    <w:rsid w:val="002916DC"/>
    <w:rsid w:val="002A43AD"/>
    <w:rsid w:val="002B2083"/>
    <w:rsid w:val="002B7A2C"/>
    <w:rsid w:val="002C112F"/>
    <w:rsid w:val="002C2BFD"/>
    <w:rsid w:val="002D1314"/>
    <w:rsid w:val="002D261C"/>
    <w:rsid w:val="002E78A7"/>
    <w:rsid w:val="00303A1E"/>
    <w:rsid w:val="003131A8"/>
    <w:rsid w:val="00315015"/>
    <w:rsid w:val="00316FC3"/>
    <w:rsid w:val="003368E9"/>
    <w:rsid w:val="00336F41"/>
    <w:rsid w:val="00343AC2"/>
    <w:rsid w:val="00367117"/>
    <w:rsid w:val="00380F5B"/>
    <w:rsid w:val="003A5882"/>
    <w:rsid w:val="003B50AF"/>
    <w:rsid w:val="003D1C70"/>
    <w:rsid w:val="003D4AC2"/>
    <w:rsid w:val="003F4BEE"/>
    <w:rsid w:val="004207F6"/>
    <w:rsid w:val="0045023B"/>
    <w:rsid w:val="00451CDB"/>
    <w:rsid w:val="00464E6D"/>
    <w:rsid w:val="004848C3"/>
    <w:rsid w:val="00497EF4"/>
    <w:rsid w:val="004A1874"/>
    <w:rsid w:val="004B55D6"/>
    <w:rsid w:val="004F223D"/>
    <w:rsid w:val="004F459A"/>
    <w:rsid w:val="00506CC7"/>
    <w:rsid w:val="005648AA"/>
    <w:rsid w:val="005678BC"/>
    <w:rsid w:val="005709AD"/>
    <w:rsid w:val="005A58AF"/>
    <w:rsid w:val="005B02FA"/>
    <w:rsid w:val="005B3815"/>
    <w:rsid w:val="005D2CB8"/>
    <w:rsid w:val="006029D7"/>
    <w:rsid w:val="0061634D"/>
    <w:rsid w:val="00652F9B"/>
    <w:rsid w:val="00656CBF"/>
    <w:rsid w:val="0067090C"/>
    <w:rsid w:val="0067663F"/>
    <w:rsid w:val="00684750"/>
    <w:rsid w:val="006B6DF4"/>
    <w:rsid w:val="006E6552"/>
    <w:rsid w:val="007431CD"/>
    <w:rsid w:val="00747A4D"/>
    <w:rsid w:val="007523BB"/>
    <w:rsid w:val="00757608"/>
    <w:rsid w:val="00767245"/>
    <w:rsid w:val="00775B33"/>
    <w:rsid w:val="00793681"/>
    <w:rsid w:val="007A2846"/>
    <w:rsid w:val="007A7258"/>
    <w:rsid w:val="007B5E9F"/>
    <w:rsid w:val="007E764A"/>
    <w:rsid w:val="007F3836"/>
    <w:rsid w:val="007F48AA"/>
    <w:rsid w:val="007F558B"/>
    <w:rsid w:val="00800238"/>
    <w:rsid w:val="008076EB"/>
    <w:rsid w:val="008410BD"/>
    <w:rsid w:val="00842882"/>
    <w:rsid w:val="00843090"/>
    <w:rsid w:val="00863F1F"/>
    <w:rsid w:val="0087678E"/>
    <w:rsid w:val="0088108E"/>
    <w:rsid w:val="0088219F"/>
    <w:rsid w:val="00887CF6"/>
    <w:rsid w:val="008A4109"/>
    <w:rsid w:val="008C1B72"/>
    <w:rsid w:val="008C53AA"/>
    <w:rsid w:val="00904E91"/>
    <w:rsid w:val="00922C32"/>
    <w:rsid w:val="00931A00"/>
    <w:rsid w:val="00932920"/>
    <w:rsid w:val="0093337A"/>
    <w:rsid w:val="00956662"/>
    <w:rsid w:val="00970299"/>
    <w:rsid w:val="00976B88"/>
    <w:rsid w:val="0099723D"/>
    <w:rsid w:val="009C6F0C"/>
    <w:rsid w:val="009E0943"/>
    <w:rsid w:val="009E2146"/>
    <w:rsid w:val="009F6ADF"/>
    <w:rsid w:val="00A0582F"/>
    <w:rsid w:val="00A14579"/>
    <w:rsid w:val="00A71A9F"/>
    <w:rsid w:val="00A9420F"/>
    <w:rsid w:val="00AD073B"/>
    <w:rsid w:val="00B07352"/>
    <w:rsid w:val="00B341C9"/>
    <w:rsid w:val="00B34821"/>
    <w:rsid w:val="00B41423"/>
    <w:rsid w:val="00B906BC"/>
    <w:rsid w:val="00B964FF"/>
    <w:rsid w:val="00BA1517"/>
    <w:rsid w:val="00BA67FD"/>
    <w:rsid w:val="00C04E93"/>
    <w:rsid w:val="00C10FAA"/>
    <w:rsid w:val="00C12A58"/>
    <w:rsid w:val="00C31750"/>
    <w:rsid w:val="00C46409"/>
    <w:rsid w:val="00C515C5"/>
    <w:rsid w:val="00C61A25"/>
    <w:rsid w:val="00C84032"/>
    <w:rsid w:val="00C92BE2"/>
    <w:rsid w:val="00C96513"/>
    <w:rsid w:val="00CC1FD7"/>
    <w:rsid w:val="00CD2747"/>
    <w:rsid w:val="00CE14B2"/>
    <w:rsid w:val="00CF752D"/>
    <w:rsid w:val="00D07EAC"/>
    <w:rsid w:val="00D31EED"/>
    <w:rsid w:val="00D34F03"/>
    <w:rsid w:val="00D60E59"/>
    <w:rsid w:val="00D75FB1"/>
    <w:rsid w:val="00D919CB"/>
    <w:rsid w:val="00DA11F0"/>
    <w:rsid w:val="00DB62C8"/>
    <w:rsid w:val="00DB6DD9"/>
    <w:rsid w:val="00DC6251"/>
    <w:rsid w:val="00DD7A81"/>
    <w:rsid w:val="00E12E02"/>
    <w:rsid w:val="00E554FB"/>
    <w:rsid w:val="00E63731"/>
    <w:rsid w:val="00E66C52"/>
    <w:rsid w:val="00E75678"/>
    <w:rsid w:val="00E86CC9"/>
    <w:rsid w:val="00E90415"/>
    <w:rsid w:val="00EA2FA4"/>
    <w:rsid w:val="00EB6BBF"/>
    <w:rsid w:val="00ED1EF9"/>
    <w:rsid w:val="00ED2A57"/>
    <w:rsid w:val="00ED4FB0"/>
    <w:rsid w:val="00EF6BF0"/>
    <w:rsid w:val="00F02946"/>
    <w:rsid w:val="00F155E2"/>
    <w:rsid w:val="00F230E7"/>
    <w:rsid w:val="00F24609"/>
    <w:rsid w:val="00F42144"/>
    <w:rsid w:val="00F620B5"/>
    <w:rsid w:val="00F71C57"/>
    <w:rsid w:val="00F73F8D"/>
    <w:rsid w:val="00F75B3D"/>
    <w:rsid w:val="00F84D59"/>
    <w:rsid w:val="00F910ED"/>
    <w:rsid w:val="00F94506"/>
    <w:rsid w:val="00FA199C"/>
    <w:rsid w:val="00FA591D"/>
    <w:rsid w:val="00FC415D"/>
    <w:rsid w:val="00FE5120"/>
    <w:rsid w:val="025EDEA8"/>
    <w:rsid w:val="0E0970B5"/>
    <w:rsid w:val="16E47A93"/>
    <w:rsid w:val="269F0AE5"/>
    <w:rsid w:val="28926776"/>
    <w:rsid w:val="29192398"/>
    <w:rsid w:val="2D6DDD74"/>
    <w:rsid w:val="2FFFC076"/>
    <w:rsid w:val="31FE29C6"/>
    <w:rsid w:val="34018125"/>
    <w:rsid w:val="3873342B"/>
    <w:rsid w:val="397E68B1"/>
    <w:rsid w:val="49028633"/>
    <w:rsid w:val="5AC19AB5"/>
    <w:rsid w:val="5C761814"/>
    <w:rsid w:val="6B9F97B6"/>
    <w:rsid w:val="74E8061F"/>
    <w:rsid w:val="7D58886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CA3ACC"/>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 w:type="paragraph" w:styleId="Tekstopmerking">
    <w:name w:val="annotation text"/>
    <w:basedOn w:val="Standaard"/>
    <w:link w:val="TekstopmerkingChar"/>
    <w:semiHidden/>
    <w:unhideWhenUsed/>
  </w:style>
  <w:style w:type="character" w:customStyle="1" w:styleId="TekstopmerkingChar">
    <w:name w:val="Tekst opmerking Char"/>
    <w:basedOn w:val="Standaardalinea-lettertype"/>
    <w:link w:val="Tekstopmerking"/>
    <w:semiHidden/>
    <w:rPr>
      <w:rFonts w:ascii="Verdana" w:hAnsi="Verdana"/>
      <w:lang w:val="nl-NL" w:eastAsia="nl-NL"/>
    </w:rPr>
  </w:style>
  <w:style w:type="character" w:styleId="Verwijzingopmerking">
    <w:name w:val="annotation reference"/>
    <w:basedOn w:val="Standaardalinea-lettertype"/>
    <w:semiHidden/>
    <w:unhideWhenUsed/>
    <w:rPr>
      <w:sz w:val="16"/>
      <w:szCs w:val="16"/>
    </w:rPr>
  </w:style>
  <w:style w:type="paragraph" w:styleId="Revisie">
    <w:name w:val="Revision"/>
    <w:hidden/>
    <w:uiPriority w:val="99"/>
    <w:semiHidden/>
    <w:rsid w:val="008C53AA"/>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a6a9b-19ba-4a2d-97d6-fc32be3efa4d" xsi:nil="true"/>
    <lcf76f155ced4ddcb4097134ff3c332f xmlns="77676535-f67d-4240-88fd-690b5b5f502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3AD282925CE2247980FE4B439BEAC0E" ma:contentTypeVersion="13" ma:contentTypeDescription="Een nieuw document maken." ma:contentTypeScope="" ma:versionID="bd6cb52429b99833c50b162e842d9a00">
  <xsd:schema xmlns:xsd="http://www.w3.org/2001/XMLSchema" xmlns:xs="http://www.w3.org/2001/XMLSchema" xmlns:p="http://schemas.microsoft.com/office/2006/metadata/properties" xmlns:ns2="77676535-f67d-4240-88fd-690b5b5f502b" xmlns:ns3="4c0a6a9b-19ba-4a2d-97d6-fc32be3efa4d" targetNamespace="http://schemas.microsoft.com/office/2006/metadata/properties" ma:root="true" ma:fieldsID="24019568f6288edef1031dc4d836c49c" ns2:_="" ns3:_="">
    <xsd:import namespace="77676535-f67d-4240-88fd-690b5b5f502b"/>
    <xsd:import namespace="4c0a6a9b-19ba-4a2d-97d6-fc32be3efa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76535-f67d-4240-88fd-690b5b5f5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a6a9b-19ba-4a2d-97d6-fc32be3efa4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9db91a-1dd6-481f-b44b-2f5ffa33120a}" ma:internalName="TaxCatchAll" ma:showField="CatchAllData" ma:web="4c0a6a9b-19ba-4a2d-97d6-fc32be3ef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32F70-C16E-45C7-BB12-C7C076A0E28F}">
  <ds:schemaRefs>
    <ds:schemaRef ds:uri="http://schemas.microsoft.com/office/2006/metadata/properties"/>
    <ds:schemaRef ds:uri="http://schemas.microsoft.com/office/infopath/2007/PartnerControls"/>
    <ds:schemaRef ds:uri="4c0a6a9b-19ba-4a2d-97d6-fc32be3efa4d"/>
    <ds:schemaRef ds:uri="77676535-f67d-4240-88fd-690b5b5f502b"/>
  </ds:schemaRefs>
</ds:datastoreItem>
</file>

<file path=customXml/itemProps2.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customXml/itemProps3.xml><?xml version="1.0" encoding="utf-8"?>
<ds:datastoreItem xmlns:ds="http://schemas.openxmlformats.org/officeDocument/2006/customXml" ds:itemID="{D620F528-4965-4F00-97E8-87C58AD92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76535-f67d-4240-88fd-690b5b5f502b"/>
    <ds:schemaRef ds:uri="4c0a6a9b-19ba-4a2d-97d6-fc32be3e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22F73-AE57-46B2-A3DE-A2D946519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3911</Characters>
  <Application>Microsoft Office Word</Application>
  <DocSecurity>4</DocSecurity>
  <Lines>32</Lines>
  <Paragraphs>9</Paragraphs>
  <ScaleCrop>false</ScaleCrop>
  <Company>Vlaams Parlement</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Sil Vanlangendonck</cp:lastModifiedBy>
  <cp:revision>2</cp:revision>
  <cp:lastPrinted>2024-11-14T08:14:00Z</cp:lastPrinted>
  <dcterms:created xsi:type="dcterms:W3CDTF">2024-11-26T14:05:00Z</dcterms:created>
  <dcterms:modified xsi:type="dcterms:W3CDTF">2024-11-26T14:05:00Z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0x010100E3AD282925CE2247980FE4B439BEAC0E</vt:lpwstr>
  </property>
  <property fmtid="{D5CDD505-2E9C-101B-9397-08002B2CF9AE}" pid="3" name="_dlc_DocIdItemGuid">
    <vt:lpwstr>98ebfede-fa66-44e8-8315-fe38cb7a4a09</vt:lpwstr>
  </property>
  <property fmtid="{D5CDD505-2E9C-101B-9397-08002B2CF9AE}" pid="4" name="MediaServiceImageTags">
    <vt:lpwstr/>
  </property>
</Properties>
</file>