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5462D" w14:textId="52910213" w:rsidR="00F64CDD" w:rsidRPr="00F64CDD" w:rsidRDefault="00CE60B2" w:rsidP="001E3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WERKING EN KOSTPRIJS SENAAT TIJDENS </w:t>
      </w:r>
      <w:r w:rsidR="00266538">
        <w:rPr>
          <w:rFonts w:ascii="Times New Roman" w:hAnsi="Times New Roman" w:cs="Times New Roman"/>
          <w:b/>
          <w:sz w:val="24"/>
          <w:szCs w:val="24"/>
          <w:u w:val="single"/>
        </w:rPr>
        <w:t>BESTUURSPERIODE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2</w:t>
      </w:r>
      <w:r w:rsidR="00266538">
        <w:rPr>
          <w:rFonts w:ascii="Times New Roman" w:hAnsi="Times New Roman" w:cs="Times New Roman"/>
          <w:b/>
          <w:sz w:val="24"/>
          <w:szCs w:val="24"/>
          <w:u w:val="single"/>
        </w:rPr>
        <w:t>019-2024</w:t>
      </w:r>
    </w:p>
    <w:p w14:paraId="0071F3FC" w14:textId="77777777" w:rsidR="00F64CDD" w:rsidRDefault="00F64CDD" w:rsidP="001E38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09DA3E3" w14:textId="2E601199" w:rsidR="00CE60B2" w:rsidRPr="00266538" w:rsidRDefault="00266538" w:rsidP="00266538">
      <w:pPr>
        <w:pStyle w:val="Lijstaline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KOSTPRIJS SENAAT</w:t>
      </w:r>
      <w:r w:rsidR="00DA1440">
        <w:rPr>
          <w:rStyle w:val="Voetnootmarkering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2C7F485E" w14:textId="77777777" w:rsidR="00CE60B2" w:rsidRDefault="00CE60B2" w:rsidP="00E96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920737" w14:textId="5BA9E3B1" w:rsidR="00266538" w:rsidRPr="00826100" w:rsidRDefault="00826100" w:rsidP="00826100">
      <w:pPr>
        <w:pStyle w:val="Lijstaline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6100">
        <w:rPr>
          <w:rFonts w:ascii="Times New Roman" w:hAnsi="Times New Roman" w:cs="Times New Roman"/>
          <w:bCs/>
          <w:sz w:val="24"/>
          <w:szCs w:val="24"/>
        </w:rPr>
        <w:t>2019:</w:t>
      </w:r>
      <w:r w:rsidR="0049399C">
        <w:rPr>
          <w:rFonts w:ascii="Times New Roman" w:hAnsi="Times New Roman" w:cs="Times New Roman"/>
          <w:bCs/>
          <w:sz w:val="24"/>
          <w:szCs w:val="24"/>
        </w:rPr>
        <w:t xml:space="preserve"> 41</w:t>
      </w:r>
      <w:r w:rsidR="00B75B97">
        <w:rPr>
          <w:rFonts w:ascii="Times New Roman" w:hAnsi="Times New Roman" w:cs="Times New Roman"/>
          <w:bCs/>
          <w:sz w:val="24"/>
          <w:szCs w:val="24"/>
        </w:rPr>
        <w:t>.</w:t>
      </w:r>
      <w:r w:rsidR="009E0DA5">
        <w:rPr>
          <w:rFonts w:ascii="Times New Roman" w:hAnsi="Times New Roman" w:cs="Times New Roman"/>
          <w:bCs/>
          <w:sz w:val="24"/>
          <w:szCs w:val="24"/>
        </w:rPr>
        <w:t>392.999</w:t>
      </w:r>
    </w:p>
    <w:p w14:paraId="659203DE" w14:textId="1A669853" w:rsidR="00826100" w:rsidRPr="00826100" w:rsidRDefault="00826100" w:rsidP="00826100">
      <w:pPr>
        <w:pStyle w:val="Lijstaline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6100">
        <w:rPr>
          <w:rFonts w:ascii="Times New Roman" w:hAnsi="Times New Roman" w:cs="Times New Roman"/>
          <w:bCs/>
          <w:sz w:val="24"/>
          <w:szCs w:val="24"/>
        </w:rPr>
        <w:t>2020:</w:t>
      </w:r>
      <w:r w:rsidR="0049399C">
        <w:rPr>
          <w:rFonts w:ascii="Times New Roman" w:hAnsi="Times New Roman" w:cs="Times New Roman"/>
          <w:bCs/>
          <w:sz w:val="24"/>
          <w:szCs w:val="24"/>
        </w:rPr>
        <w:t xml:space="preserve"> 39</w:t>
      </w:r>
      <w:r w:rsidR="009E0DA5">
        <w:rPr>
          <w:rFonts w:ascii="Times New Roman" w:hAnsi="Times New Roman" w:cs="Times New Roman"/>
          <w:bCs/>
          <w:sz w:val="24"/>
          <w:szCs w:val="24"/>
        </w:rPr>
        <w:t>.</w:t>
      </w:r>
      <w:r w:rsidR="0049399C">
        <w:rPr>
          <w:rFonts w:ascii="Times New Roman" w:hAnsi="Times New Roman" w:cs="Times New Roman"/>
          <w:bCs/>
          <w:sz w:val="24"/>
          <w:szCs w:val="24"/>
        </w:rPr>
        <w:t>2</w:t>
      </w:r>
      <w:r w:rsidR="009E0DA5">
        <w:rPr>
          <w:rFonts w:ascii="Times New Roman" w:hAnsi="Times New Roman" w:cs="Times New Roman"/>
          <w:bCs/>
          <w:sz w:val="24"/>
          <w:szCs w:val="24"/>
        </w:rPr>
        <w:t>42.826</w:t>
      </w:r>
    </w:p>
    <w:p w14:paraId="6CA77BCB" w14:textId="445A6195" w:rsidR="00826100" w:rsidRPr="00826100" w:rsidRDefault="00826100" w:rsidP="00826100">
      <w:pPr>
        <w:pStyle w:val="Lijstaline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6100">
        <w:rPr>
          <w:rFonts w:ascii="Times New Roman" w:hAnsi="Times New Roman" w:cs="Times New Roman"/>
          <w:bCs/>
          <w:sz w:val="24"/>
          <w:szCs w:val="24"/>
        </w:rPr>
        <w:t>2021:</w:t>
      </w:r>
      <w:r w:rsidR="0049399C">
        <w:rPr>
          <w:rFonts w:ascii="Times New Roman" w:hAnsi="Times New Roman" w:cs="Times New Roman"/>
          <w:bCs/>
          <w:sz w:val="24"/>
          <w:szCs w:val="24"/>
        </w:rPr>
        <w:t xml:space="preserve"> 39</w:t>
      </w:r>
      <w:r w:rsidR="009E0DA5">
        <w:rPr>
          <w:rFonts w:ascii="Times New Roman" w:hAnsi="Times New Roman" w:cs="Times New Roman"/>
          <w:bCs/>
          <w:sz w:val="24"/>
          <w:szCs w:val="24"/>
        </w:rPr>
        <w:t>.</w:t>
      </w:r>
      <w:r w:rsidR="0049399C">
        <w:rPr>
          <w:rFonts w:ascii="Times New Roman" w:hAnsi="Times New Roman" w:cs="Times New Roman"/>
          <w:bCs/>
          <w:sz w:val="24"/>
          <w:szCs w:val="24"/>
        </w:rPr>
        <w:t>6</w:t>
      </w:r>
      <w:r w:rsidR="009E0DA5">
        <w:rPr>
          <w:rFonts w:ascii="Times New Roman" w:hAnsi="Times New Roman" w:cs="Times New Roman"/>
          <w:bCs/>
          <w:sz w:val="24"/>
          <w:szCs w:val="24"/>
        </w:rPr>
        <w:t>13.768</w:t>
      </w:r>
    </w:p>
    <w:p w14:paraId="615FF2C3" w14:textId="465FA286" w:rsidR="00826100" w:rsidRPr="00826100" w:rsidRDefault="00826100" w:rsidP="00826100">
      <w:pPr>
        <w:pStyle w:val="Lijstaline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6100">
        <w:rPr>
          <w:rFonts w:ascii="Times New Roman" w:hAnsi="Times New Roman" w:cs="Times New Roman"/>
          <w:bCs/>
          <w:sz w:val="24"/>
          <w:szCs w:val="24"/>
        </w:rPr>
        <w:t>2022:</w:t>
      </w:r>
      <w:r w:rsidR="0049399C">
        <w:rPr>
          <w:rFonts w:ascii="Times New Roman" w:hAnsi="Times New Roman" w:cs="Times New Roman"/>
          <w:bCs/>
          <w:sz w:val="24"/>
          <w:szCs w:val="24"/>
        </w:rPr>
        <w:t xml:space="preserve"> 43</w:t>
      </w:r>
      <w:r w:rsidR="009E0DA5">
        <w:rPr>
          <w:rFonts w:ascii="Times New Roman" w:hAnsi="Times New Roman" w:cs="Times New Roman"/>
          <w:bCs/>
          <w:sz w:val="24"/>
          <w:szCs w:val="24"/>
        </w:rPr>
        <w:t>.359.591</w:t>
      </w:r>
    </w:p>
    <w:p w14:paraId="6EB15B6D" w14:textId="1FB36A18" w:rsidR="00826100" w:rsidRPr="00826100" w:rsidRDefault="00826100" w:rsidP="00826100">
      <w:pPr>
        <w:pStyle w:val="Lijstalinea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26100">
        <w:rPr>
          <w:rFonts w:ascii="Times New Roman" w:hAnsi="Times New Roman" w:cs="Times New Roman"/>
          <w:bCs/>
          <w:sz w:val="24"/>
          <w:szCs w:val="24"/>
        </w:rPr>
        <w:t>2023:</w:t>
      </w:r>
      <w:r w:rsidR="0049399C">
        <w:rPr>
          <w:rFonts w:ascii="Times New Roman" w:hAnsi="Times New Roman" w:cs="Times New Roman"/>
          <w:bCs/>
          <w:sz w:val="24"/>
          <w:szCs w:val="24"/>
        </w:rPr>
        <w:t xml:space="preserve"> 46</w:t>
      </w:r>
      <w:r w:rsidR="009E0DA5">
        <w:rPr>
          <w:rFonts w:ascii="Times New Roman" w:hAnsi="Times New Roman" w:cs="Times New Roman"/>
          <w:bCs/>
          <w:sz w:val="24"/>
          <w:szCs w:val="24"/>
        </w:rPr>
        <w:t>.</w:t>
      </w:r>
      <w:r w:rsidR="0049399C">
        <w:rPr>
          <w:rFonts w:ascii="Times New Roman" w:hAnsi="Times New Roman" w:cs="Times New Roman"/>
          <w:bCs/>
          <w:sz w:val="24"/>
          <w:szCs w:val="24"/>
        </w:rPr>
        <w:t>8</w:t>
      </w:r>
      <w:r w:rsidR="009E0DA5">
        <w:rPr>
          <w:rFonts w:ascii="Times New Roman" w:hAnsi="Times New Roman" w:cs="Times New Roman"/>
          <w:bCs/>
          <w:sz w:val="24"/>
          <w:szCs w:val="24"/>
        </w:rPr>
        <w:t>05.268</w:t>
      </w:r>
      <w:r w:rsidR="0049399C">
        <w:rPr>
          <w:rFonts w:ascii="Times New Roman" w:hAnsi="Times New Roman" w:cs="Times New Roman"/>
          <w:bCs/>
          <w:sz w:val="24"/>
          <w:szCs w:val="24"/>
        </w:rPr>
        <w:t xml:space="preserve"> (vooruitzichten)</w:t>
      </w:r>
    </w:p>
    <w:p w14:paraId="12C30C3C" w14:textId="5B795876" w:rsidR="00826100" w:rsidRPr="00826100" w:rsidRDefault="00826100" w:rsidP="00826100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Totaal</w:t>
      </w:r>
      <w:r w:rsidR="00BE49C6">
        <w:rPr>
          <w:rFonts w:ascii="Times New Roman" w:hAnsi="Times New Roman" w:cs="Times New Roman"/>
          <w:bCs/>
          <w:sz w:val="24"/>
          <w:szCs w:val="24"/>
        </w:rPr>
        <w:t xml:space="preserve"> 5 jaar</w:t>
      </w:r>
      <w:r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FF70EA">
        <w:rPr>
          <w:rFonts w:ascii="Times New Roman" w:hAnsi="Times New Roman" w:cs="Times New Roman"/>
          <w:bCs/>
          <w:sz w:val="24"/>
          <w:szCs w:val="24"/>
        </w:rPr>
        <w:t>210,4</w:t>
      </w:r>
      <w:r w:rsidR="00B75B97">
        <w:rPr>
          <w:rFonts w:ascii="Times New Roman" w:hAnsi="Times New Roman" w:cs="Times New Roman"/>
          <w:bCs/>
          <w:sz w:val="24"/>
          <w:szCs w:val="24"/>
        </w:rPr>
        <w:t>14.452</w:t>
      </w:r>
      <w:r w:rsidR="00FF70EA">
        <w:rPr>
          <w:rFonts w:ascii="Times New Roman" w:hAnsi="Times New Roman" w:cs="Times New Roman"/>
          <w:bCs/>
          <w:sz w:val="24"/>
          <w:szCs w:val="24"/>
        </w:rPr>
        <w:t xml:space="preserve"> euro</w:t>
      </w:r>
    </w:p>
    <w:p w14:paraId="4EB98A80" w14:textId="77777777" w:rsidR="00266538" w:rsidRDefault="00266538" w:rsidP="00E967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A9B089" w14:textId="145F9A84" w:rsidR="00E9678D" w:rsidRPr="00266538" w:rsidRDefault="00E9678D" w:rsidP="00266538">
      <w:pPr>
        <w:pStyle w:val="Lijstaline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538">
        <w:rPr>
          <w:rFonts w:ascii="Times New Roman" w:hAnsi="Times New Roman" w:cs="Times New Roman"/>
          <w:b/>
          <w:sz w:val="24"/>
          <w:szCs w:val="24"/>
        </w:rPr>
        <w:t>PLENAIRE VERGADERINGEN</w:t>
      </w:r>
      <w:r w:rsidR="00826100">
        <w:rPr>
          <w:rStyle w:val="Voetnootmarkering"/>
          <w:rFonts w:ascii="Times New Roman" w:hAnsi="Times New Roman" w:cs="Times New Roman"/>
          <w:b/>
          <w:sz w:val="24"/>
          <w:szCs w:val="24"/>
        </w:rPr>
        <w:footnoteReference w:id="2"/>
      </w:r>
    </w:p>
    <w:p w14:paraId="6FAE48A2" w14:textId="77777777" w:rsidR="00266538" w:rsidRPr="00266538" w:rsidRDefault="00266538" w:rsidP="00266538">
      <w:pPr>
        <w:pStyle w:val="Lijstalinea"/>
        <w:rPr>
          <w:rFonts w:ascii="Times New Roman" w:hAnsi="Times New Roman" w:cs="Times New Roman"/>
          <w:b/>
          <w:sz w:val="24"/>
          <w:szCs w:val="24"/>
        </w:rPr>
      </w:pPr>
    </w:p>
    <w:p w14:paraId="0A6D0294" w14:textId="25C0E428" w:rsidR="004A6A02" w:rsidRDefault="004A6A02" w:rsidP="005B5E0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44 vergaderingen</w:t>
      </w:r>
    </w:p>
    <w:p w14:paraId="130891BB" w14:textId="479856D3" w:rsidR="004A6A02" w:rsidRDefault="004A6A02" w:rsidP="005B5E0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102 u 55 min. vergaderd</w:t>
      </w:r>
    </w:p>
    <w:p w14:paraId="4ACB5B9F" w14:textId="4D924E4F" w:rsidR="004A6A02" w:rsidRDefault="005B5E0F" w:rsidP="005B5E0F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4A6A02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4A6A02">
        <w:rPr>
          <w:rFonts w:ascii="Times New Roman" w:hAnsi="Times New Roman" w:cs="Times New Roman"/>
          <w:sz w:val="24"/>
          <w:szCs w:val="24"/>
        </w:rPr>
        <w:t xml:space="preserve"> min. per vergadering</w:t>
      </w:r>
    </w:p>
    <w:p w14:paraId="2ADEE524" w14:textId="77777777" w:rsidR="00D12992" w:rsidRDefault="00D12992" w:rsidP="00D129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69B79B" w14:textId="51F034D8" w:rsidR="00FF70EA" w:rsidRDefault="00FF70EA" w:rsidP="00FF70EA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Eén plenaire vergadering kost 4,78 miljoen</w:t>
      </w:r>
      <w:r w:rsidR="00E86BE8">
        <w:rPr>
          <w:rFonts w:ascii="Times New Roman" w:hAnsi="Times New Roman" w:cs="Times New Roman"/>
          <w:sz w:val="24"/>
          <w:szCs w:val="24"/>
        </w:rPr>
        <w:t xml:space="preserve"> euro</w:t>
      </w:r>
    </w:p>
    <w:p w14:paraId="6BA3FEFE" w14:textId="1D3A27EA" w:rsidR="00FF70EA" w:rsidRDefault="00FF70EA" w:rsidP="00FF70EA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Eén uur plenair vergaderen kost 2</w:t>
      </w:r>
      <w:r w:rsidR="00D1299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04</w:t>
      </w:r>
      <w:r w:rsidR="00D12992">
        <w:rPr>
          <w:rFonts w:ascii="Times New Roman" w:hAnsi="Times New Roman" w:cs="Times New Roman"/>
          <w:sz w:val="24"/>
          <w:szCs w:val="24"/>
        </w:rPr>
        <w:t>2.859</w:t>
      </w:r>
      <w:r>
        <w:rPr>
          <w:rFonts w:ascii="Times New Roman" w:hAnsi="Times New Roman" w:cs="Times New Roman"/>
          <w:sz w:val="24"/>
          <w:szCs w:val="24"/>
        </w:rPr>
        <w:t xml:space="preserve"> euro</w:t>
      </w:r>
    </w:p>
    <w:p w14:paraId="3773D2F0" w14:textId="3ACEAC4F" w:rsidR="00E3213A" w:rsidRDefault="00FF70EA" w:rsidP="00D43BF7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Eén</w:t>
      </w:r>
      <w:r w:rsidRPr="00FF70EA">
        <w:rPr>
          <w:rFonts w:ascii="Times New Roman" w:hAnsi="Times New Roman" w:cs="Times New Roman"/>
          <w:sz w:val="24"/>
          <w:szCs w:val="24"/>
        </w:rPr>
        <w:t xml:space="preserve"> minuut plenair vergaderen kost 34.07</w:t>
      </w:r>
      <w:r w:rsidR="00D12992">
        <w:rPr>
          <w:rFonts w:ascii="Times New Roman" w:hAnsi="Times New Roman" w:cs="Times New Roman"/>
          <w:sz w:val="24"/>
          <w:szCs w:val="24"/>
        </w:rPr>
        <w:t>5</w:t>
      </w:r>
      <w:r w:rsidRPr="00FF70EA">
        <w:rPr>
          <w:rFonts w:ascii="Times New Roman" w:hAnsi="Times New Roman" w:cs="Times New Roman"/>
          <w:sz w:val="24"/>
          <w:szCs w:val="24"/>
        </w:rPr>
        <w:t xml:space="preserve"> euro</w:t>
      </w:r>
    </w:p>
    <w:p w14:paraId="74B1E5EC" w14:textId="77777777" w:rsidR="00FF70EA" w:rsidRDefault="00FF70EA" w:rsidP="00FF70EA">
      <w:pPr>
        <w:pStyle w:val="Lijstalinea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54CFDD" w14:textId="674B5AC7" w:rsidR="00D12992" w:rsidRDefault="00D12992" w:rsidP="00BE49C6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5 jaar zijn er 260 weken -&gt; de Senaat heeft om de 5,9 weken vergaderd &gt; ca. elke anderhalve maand.</w:t>
      </w:r>
    </w:p>
    <w:p w14:paraId="40DC8D02" w14:textId="2EF07498" w:rsidR="00D12992" w:rsidRDefault="00D12992" w:rsidP="00BE49C6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5 jaar zijn er 1.826 dagen. De Senaat heeft er daarvan 44 plenair vergaderd, dat is 2,4% van het aantal dagen</w:t>
      </w:r>
      <w:r w:rsidR="001E3998">
        <w:rPr>
          <w:rFonts w:ascii="Times New Roman" w:hAnsi="Times New Roman" w:cs="Times New Roman"/>
          <w:sz w:val="24"/>
          <w:szCs w:val="24"/>
        </w:rPr>
        <w:t xml:space="preserve"> of 8,76 dagen van een jaar.</w:t>
      </w:r>
    </w:p>
    <w:p w14:paraId="0686C0DA" w14:textId="59438FB1" w:rsidR="00D12992" w:rsidRDefault="00D12992" w:rsidP="00BE49C6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5 jaar zijn er </w:t>
      </w:r>
      <w:r w:rsidR="007F28F5">
        <w:rPr>
          <w:rFonts w:ascii="Times New Roman" w:hAnsi="Times New Roman" w:cs="Times New Roman"/>
          <w:sz w:val="24"/>
          <w:szCs w:val="24"/>
        </w:rPr>
        <w:t>43.824 uren. De Senaat heeft daarin 103 uren plenair vergaderd. Dat is 0,23% van het aantal uren</w:t>
      </w:r>
      <w:r w:rsidR="001E3998">
        <w:rPr>
          <w:rFonts w:ascii="Times New Roman" w:hAnsi="Times New Roman" w:cs="Times New Roman"/>
          <w:sz w:val="24"/>
          <w:szCs w:val="24"/>
        </w:rPr>
        <w:t>, hetzij</w:t>
      </w:r>
      <w:r w:rsidR="0056237A">
        <w:rPr>
          <w:rFonts w:ascii="Times New Roman" w:hAnsi="Times New Roman" w:cs="Times New Roman"/>
          <w:sz w:val="24"/>
          <w:szCs w:val="24"/>
        </w:rPr>
        <w:t xml:space="preserve"> gemiddeld </w:t>
      </w:r>
      <w:r w:rsidR="00E16DE0">
        <w:rPr>
          <w:rFonts w:ascii="Times New Roman" w:hAnsi="Times New Roman" w:cs="Times New Roman"/>
          <w:sz w:val="24"/>
          <w:szCs w:val="24"/>
        </w:rPr>
        <w:t>1 u</w:t>
      </w:r>
      <w:r w:rsidR="00BE49C6">
        <w:rPr>
          <w:rFonts w:ascii="Times New Roman" w:hAnsi="Times New Roman" w:cs="Times New Roman"/>
          <w:sz w:val="24"/>
          <w:szCs w:val="24"/>
        </w:rPr>
        <w:t>.</w:t>
      </w:r>
      <w:r w:rsidR="00E16DE0">
        <w:rPr>
          <w:rFonts w:ascii="Times New Roman" w:hAnsi="Times New Roman" w:cs="Times New Roman"/>
          <w:sz w:val="24"/>
          <w:szCs w:val="24"/>
        </w:rPr>
        <w:t xml:space="preserve"> 41 min. van een maand of </w:t>
      </w:r>
      <w:r w:rsidR="0056237A">
        <w:rPr>
          <w:rFonts w:ascii="Times New Roman" w:hAnsi="Times New Roman" w:cs="Times New Roman"/>
          <w:sz w:val="24"/>
          <w:szCs w:val="24"/>
        </w:rPr>
        <w:t>3,3 minuten van een dag.</w:t>
      </w:r>
    </w:p>
    <w:p w14:paraId="2A0AE736" w14:textId="77777777" w:rsidR="00D12992" w:rsidRPr="00BE49C6" w:rsidRDefault="00D12992" w:rsidP="00BE49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F0F0A7" w14:textId="6CD686B6" w:rsidR="005605F4" w:rsidRPr="00266538" w:rsidRDefault="005605F4" w:rsidP="00266538">
      <w:pPr>
        <w:pStyle w:val="Lijstaline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6538">
        <w:rPr>
          <w:rFonts w:ascii="Times New Roman" w:hAnsi="Times New Roman" w:cs="Times New Roman"/>
          <w:b/>
          <w:sz w:val="24"/>
          <w:szCs w:val="24"/>
        </w:rPr>
        <w:t>COMMISSIEVERGADERINGEN</w:t>
      </w:r>
      <w:r w:rsidR="00B85E1D" w:rsidRPr="00266538">
        <w:rPr>
          <w:rFonts w:ascii="Times New Roman" w:hAnsi="Times New Roman" w:cs="Times New Roman"/>
          <w:b/>
          <w:sz w:val="24"/>
          <w:szCs w:val="24"/>
        </w:rPr>
        <w:t xml:space="preserve"> (specifiek Senaat)</w:t>
      </w:r>
      <w:r w:rsidR="004A6A02">
        <w:rPr>
          <w:rStyle w:val="Voetnootmarkering"/>
          <w:rFonts w:ascii="Times New Roman" w:hAnsi="Times New Roman" w:cs="Times New Roman"/>
          <w:b/>
          <w:sz w:val="24"/>
          <w:szCs w:val="24"/>
        </w:rPr>
        <w:footnoteReference w:id="3"/>
      </w:r>
    </w:p>
    <w:p w14:paraId="3D4D0C89" w14:textId="77777777" w:rsidR="005605F4" w:rsidRDefault="005605F4" w:rsidP="005605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1125E17" w14:textId="77777777" w:rsidR="00B85E1D" w:rsidRDefault="00747FE8" w:rsidP="00747FE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Vaste commissie</w:t>
      </w:r>
      <w:r w:rsidR="00B85E1D">
        <w:rPr>
          <w:rFonts w:ascii="Times New Roman" w:hAnsi="Times New Roman" w:cs="Times New Roman"/>
          <w:sz w:val="24"/>
          <w:szCs w:val="24"/>
        </w:rPr>
        <w:t xml:space="preserve"> voor</w:t>
      </w:r>
      <w:r>
        <w:rPr>
          <w:rFonts w:ascii="Times New Roman" w:hAnsi="Times New Roman" w:cs="Times New Roman"/>
          <w:sz w:val="24"/>
          <w:szCs w:val="24"/>
        </w:rPr>
        <w:t xml:space="preserve"> Institutionele Aangelegenheden</w:t>
      </w:r>
      <w:r w:rsidR="005605F4" w:rsidRPr="00747F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FE6C3C1" w14:textId="3F1041CF" w:rsidR="005605F4" w:rsidRDefault="00900B79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71</w:t>
      </w:r>
      <w:r w:rsidR="00B85E1D">
        <w:rPr>
          <w:rFonts w:ascii="Times New Roman" w:hAnsi="Times New Roman" w:cs="Times New Roman"/>
          <w:sz w:val="24"/>
          <w:szCs w:val="24"/>
        </w:rPr>
        <w:t xml:space="preserve"> vergaderinge</w:t>
      </w:r>
      <w:r>
        <w:rPr>
          <w:rFonts w:ascii="Times New Roman" w:hAnsi="Times New Roman" w:cs="Times New Roman"/>
          <w:sz w:val="24"/>
          <w:szCs w:val="24"/>
        </w:rPr>
        <w:t>n</w:t>
      </w:r>
    </w:p>
    <w:p w14:paraId="69F12D96" w14:textId="6746CD6E" w:rsidR="00B85E1D" w:rsidRDefault="00900B79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4E7139">
        <w:rPr>
          <w:rFonts w:ascii="Times New Roman" w:hAnsi="Times New Roman" w:cs="Times New Roman"/>
          <w:sz w:val="24"/>
          <w:szCs w:val="24"/>
        </w:rPr>
        <w:t>4</w:t>
      </w:r>
      <w:r w:rsidR="00B85E1D">
        <w:rPr>
          <w:rFonts w:ascii="Times New Roman" w:hAnsi="Times New Roman" w:cs="Times New Roman"/>
          <w:sz w:val="24"/>
          <w:szCs w:val="24"/>
        </w:rPr>
        <w:t xml:space="preserve"> u </w:t>
      </w:r>
      <w:r w:rsidR="004E713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5</w:t>
      </w:r>
      <w:r w:rsidR="00B85E1D">
        <w:rPr>
          <w:rFonts w:ascii="Times New Roman" w:hAnsi="Times New Roman" w:cs="Times New Roman"/>
          <w:sz w:val="24"/>
          <w:szCs w:val="24"/>
        </w:rPr>
        <w:t xml:space="preserve"> min. vergaderd</w:t>
      </w:r>
    </w:p>
    <w:p w14:paraId="3F217A6D" w14:textId="54FD30DF" w:rsidR="00B85E1D" w:rsidRDefault="004E7139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gemiddeld </w:t>
      </w:r>
      <w:r w:rsidR="00B85E1D">
        <w:rPr>
          <w:rFonts w:ascii="Times New Roman" w:hAnsi="Times New Roman" w:cs="Times New Roman"/>
          <w:sz w:val="24"/>
          <w:szCs w:val="24"/>
        </w:rPr>
        <w:t xml:space="preserve">1 u </w:t>
      </w:r>
      <w:r w:rsidR="00900B79">
        <w:rPr>
          <w:rFonts w:ascii="Times New Roman" w:hAnsi="Times New Roman" w:cs="Times New Roman"/>
          <w:sz w:val="24"/>
          <w:szCs w:val="24"/>
        </w:rPr>
        <w:t>36</w:t>
      </w:r>
      <w:r w:rsidR="00B85E1D">
        <w:rPr>
          <w:rFonts w:ascii="Times New Roman" w:hAnsi="Times New Roman" w:cs="Times New Roman"/>
          <w:sz w:val="24"/>
          <w:szCs w:val="24"/>
        </w:rPr>
        <w:t xml:space="preserve"> min. per vergadering</w:t>
      </w:r>
    </w:p>
    <w:p w14:paraId="53487AF3" w14:textId="69BDBD95" w:rsidR="007B39A1" w:rsidRDefault="008A4C92" w:rsidP="007B39A1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="007B39A1">
        <w:rPr>
          <w:rFonts w:ascii="Times New Roman" w:hAnsi="Times New Roman" w:cs="Times New Roman"/>
          <w:sz w:val="24"/>
          <w:szCs w:val="24"/>
        </w:rPr>
        <w:t xml:space="preserve"> 0,26% van het totaal aantal uren of gemiddeld 3,7 minuten per dag</w:t>
      </w:r>
    </w:p>
    <w:p w14:paraId="41ED8365" w14:textId="697CC255" w:rsidR="00C5627B" w:rsidRDefault="00C5627B" w:rsidP="00747FE8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Vaste commissie</w:t>
      </w:r>
      <w:r w:rsidR="00B85E1D">
        <w:rPr>
          <w:rFonts w:ascii="Times New Roman" w:hAnsi="Times New Roman" w:cs="Times New Roman"/>
          <w:sz w:val="24"/>
          <w:szCs w:val="24"/>
        </w:rPr>
        <w:t xml:space="preserve"> voor</w:t>
      </w:r>
      <w:r>
        <w:rPr>
          <w:rFonts w:ascii="Times New Roman" w:hAnsi="Times New Roman" w:cs="Times New Roman"/>
          <w:sz w:val="24"/>
          <w:szCs w:val="24"/>
        </w:rPr>
        <w:t xml:space="preserve"> Transversale Aangelegenheden</w:t>
      </w:r>
      <w:r w:rsidR="00B85E1D">
        <w:rPr>
          <w:rFonts w:ascii="Times New Roman" w:hAnsi="Times New Roman" w:cs="Times New Roman"/>
          <w:sz w:val="24"/>
          <w:szCs w:val="24"/>
        </w:rPr>
        <w:t>:</w:t>
      </w:r>
    </w:p>
    <w:p w14:paraId="78809CA2" w14:textId="14F5DA6E" w:rsidR="00B85E1D" w:rsidRDefault="00900B79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B85E1D">
        <w:rPr>
          <w:rFonts w:ascii="Times New Roman" w:hAnsi="Times New Roman" w:cs="Times New Roman"/>
          <w:sz w:val="24"/>
          <w:szCs w:val="24"/>
        </w:rPr>
        <w:t>6 vergaderingen</w:t>
      </w:r>
    </w:p>
    <w:p w14:paraId="7905F872" w14:textId="024F00BB" w:rsidR="00B85E1D" w:rsidRDefault="00900B79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</w:t>
      </w:r>
      <w:r w:rsidR="00B85E1D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>15</w:t>
      </w:r>
      <w:r w:rsidR="00B85E1D">
        <w:rPr>
          <w:rFonts w:ascii="Times New Roman" w:hAnsi="Times New Roman" w:cs="Times New Roman"/>
          <w:sz w:val="24"/>
          <w:szCs w:val="24"/>
        </w:rPr>
        <w:t xml:space="preserve"> min. vergaderd</w:t>
      </w:r>
    </w:p>
    <w:p w14:paraId="71BCF143" w14:textId="195ED8C8" w:rsidR="00B85E1D" w:rsidRDefault="004E7139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gemiddeld </w:t>
      </w:r>
      <w:r w:rsidR="00B85E1D">
        <w:rPr>
          <w:rFonts w:ascii="Times New Roman" w:hAnsi="Times New Roman" w:cs="Times New Roman"/>
          <w:sz w:val="24"/>
          <w:szCs w:val="24"/>
        </w:rPr>
        <w:t xml:space="preserve">2 u </w:t>
      </w:r>
      <w:r w:rsidR="00900B79">
        <w:rPr>
          <w:rFonts w:ascii="Times New Roman" w:hAnsi="Times New Roman" w:cs="Times New Roman"/>
          <w:sz w:val="24"/>
          <w:szCs w:val="24"/>
        </w:rPr>
        <w:t>35</w:t>
      </w:r>
      <w:r w:rsidR="00B85E1D">
        <w:rPr>
          <w:rFonts w:ascii="Times New Roman" w:hAnsi="Times New Roman" w:cs="Times New Roman"/>
          <w:sz w:val="24"/>
          <w:szCs w:val="24"/>
        </w:rPr>
        <w:t xml:space="preserve"> min. per vergadering</w:t>
      </w:r>
    </w:p>
    <w:p w14:paraId="2B066285" w14:textId="78AB81C6" w:rsidR="007B39A1" w:rsidRDefault="008A4C92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="007B39A1">
        <w:rPr>
          <w:rFonts w:ascii="Times New Roman" w:hAnsi="Times New Roman" w:cs="Times New Roman"/>
          <w:sz w:val="24"/>
          <w:szCs w:val="24"/>
        </w:rPr>
        <w:t xml:space="preserve"> 0,</w:t>
      </w:r>
      <w:r w:rsidR="00663175">
        <w:rPr>
          <w:rFonts w:ascii="Times New Roman" w:hAnsi="Times New Roman" w:cs="Times New Roman"/>
          <w:sz w:val="24"/>
          <w:szCs w:val="24"/>
        </w:rPr>
        <w:t>35</w:t>
      </w:r>
      <w:r w:rsidR="007B39A1">
        <w:rPr>
          <w:rFonts w:ascii="Times New Roman" w:hAnsi="Times New Roman" w:cs="Times New Roman"/>
          <w:sz w:val="24"/>
          <w:szCs w:val="24"/>
        </w:rPr>
        <w:t>% van het totaal aantal uren</w:t>
      </w:r>
      <w:r w:rsidR="00663175">
        <w:rPr>
          <w:rFonts w:ascii="Times New Roman" w:hAnsi="Times New Roman" w:cs="Times New Roman"/>
          <w:sz w:val="24"/>
          <w:szCs w:val="24"/>
        </w:rPr>
        <w:t xml:space="preserve"> of gemiddeld </w:t>
      </w:r>
      <w:r w:rsidR="00676165">
        <w:rPr>
          <w:rFonts w:ascii="Times New Roman" w:hAnsi="Times New Roman" w:cs="Times New Roman"/>
          <w:sz w:val="24"/>
          <w:szCs w:val="24"/>
        </w:rPr>
        <w:t>5</w:t>
      </w:r>
      <w:r w:rsidR="00663175">
        <w:rPr>
          <w:rFonts w:ascii="Times New Roman" w:hAnsi="Times New Roman" w:cs="Times New Roman"/>
          <w:sz w:val="24"/>
          <w:szCs w:val="24"/>
        </w:rPr>
        <w:t xml:space="preserve"> minuten per dag</w:t>
      </w:r>
    </w:p>
    <w:p w14:paraId="7303DB50" w14:textId="4BEFEF07" w:rsidR="003734CF" w:rsidRDefault="00B85E1D" w:rsidP="00B85E1D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Vaste commissie voor Democratische Vernieuwing, Burgerschap en Internationale Aangelegenheden:</w:t>
      </w:r>
    </w:p>
    <w:p w14:paraId="4CBE58F0" w14:textId="4A2D5EC0" w:rsidR="00B85E1D" w:rsidRDefault="00B85E1D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00B79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vergaderingen</w:t>
      </w:r>
    </w:p>
    <w:p w14:paraId="3D66C535" w14:textId="3980BA6E" w:rsidR="00B85E1D" w:rsidRDefault="00676165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4E7139">
        <w:rPr>
          <w:rFonts w:ascii="Times New Roman" w:hAnsi="Times New Roman" w:cs="Times New Roman"/>
          <w:sz w:val="24"/>
          <w:szCs w:val="24"/>
        </w:rPr>
        <w:t>08</w:t>
      </w:r>
      <w:r w:rsidR="00B85E1D">
        <w:rPr>
          <w:rFonts w:ascii="Times New Roman" w:hAnsi="Times New Roman" w:cs="Times New Roman"/>
          <w:sz w:val="24"/>
          <w:szCs w:val="24"/>
        </w:rPr>
        <w:t xml:space="preserve"> u en </w:t>
      </w:r>
      <w:r w:rsidR="004E713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</w:t>
      </w:r>
      <w:r w:rsidR="00B85E1D">
        <w:rPr>
          <w:rFonts w:ascii="Times New Roman" w:hAnsi="Times New Roman" w:cs="Times New Roman"/>
          <w:sz w:val="24"/>
          <w:szCs w:val="24"/>
        </w:rPr>
        <w:t xml:space="preserve"> min. vergaderd</w:t>
      </w:r>
    </w:p>
    <w:p w14:paraId="1110CE13" w14:textId="6C67B825" w:rsidR="00B85E1D" w:rsidRDefault="00B85E1D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u </w:t>
      </w:r>
      <w:r w:rsidR="00900B7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min. per vergadering</w:t>
      </w:r>
    </w:p>
    <w:p w14:paraId="17D3453E" w14:textId="166EF4D7" w:rsidR="00676165" w:rsidRDefault="008A4C92" w:rsidP="00676165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="00676165">
        <w:rPr>
          <w:rFonts w:ascii="Times New Roman" w:hAnsi="Times New Roman" w:cs="Times New Roman"/>
          <w:sz w:val="24"/>
          <w:szCs w:val="24"/>
        </w:rPr>
        <w:t xml:space="preserve"> 0,35% van het totaal aantal uren of gemiddeld 5 minuten per dag</w:t>
      </w:r>
    </w:p>
    <w:p w14:paraId="375FF407" w14:textId="6109C4E3" w:rsidR="00B85E1D" w:rsidRDefault="00B85E1D" w:rsidP="00B85E1D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Adviescomité voor gelijke kansen voor vrouwen en mannen</w:t>
      </w:r>
    </w:p>
    <w:p w14:paraId="33F484B3" w14:textId="3B52E0B4" w:rsidR="00B85E1D" w:rsidRDefault="00900B79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89</w:t>
      </w:r>
      <w:r w:rsidR="00B85E1D">
        <w:rPr>
          <w:rFonts w:ascii="Times New Roman" w:hAnsi="Times New Roman" w:cs="Times New Roman"/>
          <w:sz w:val="24"/>
          <w:szCs w:val="24"/>
        </w:rPr>
        <w:t xml:space="preserve"> vergaderingen</w:t>
      </w:r>
    </w:p>
    <w:p w14:paraId="46939CAC" w14:textId="6BFBA86E" w:rsidR="00B85E1D" w:rsidRDefault="00B85E1D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EC3B5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u </w:t>
      </w:r>
      <w:r w:rsidR="00EC3B5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min. vergaderd</w:t>
      </w:r>
    </w:p>
    <w:p w14:paraId="1B415207" w14:textId="00FDE680" w:rsidR="00B85E1D" w:rsidRDefault="004E7139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gemiddeld </w:t>
      </w:r>
      <w:r w:rsidR="00B85E1D">
        <w:rPr>
          <w:rFonts w:ascii="Times New Roman" w:hAnsi="Times New Roman" w:cs="Times New Roman"/>
          <w:sz w:val="24"/>
          <w:szCs w:val="24"/>
        </w:rPr>
        <w:t xml:space="preserve">1 u </w:t>
      </w:r>
      <w:r w:rsidR="00EC3B59">
        <w:rPr>
          <w:rFonts w:ascii="Times New Roman" w:hAnsi="Times New Roman" w:cs="Times New Roman"/>
          <w:sz w:val="24"/>
          <w:szCs w:val="24"/>
        </w:rPr>
        <w:t>23</w:t>
      </w:r>
      <w:r w:rsidR="00B85E1D">
        <w:rPr>
          <w:rFonts w:ascii="Times New Roman" w:hAnsi="Times New Roman" w:cs="Times New Roman"/>
          <w:sz w:val="24"/>
          <w:szCs w:val="24"/>
        </w:rPr>
        <w:t xml:space="preserve"> min. per vergadering</w:t>
      </w:r>
    </w:p>
    <w:p w14:paraId="038DE307" w14:textId="79BFEB7A" w:rsidR="003C5C06" w:rsidRDefault="008A4C92" w:rsidP="003C5C06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</w:t>
      </w:r>
      <w:r w:rsidR="003C5C06">
        <w:rPr>
          <w:rFonts w:ascii="Times New Roman" w:hAnsi="Times New Roman" w:cs="Times New Roman"/>
          <w:sz w:val="24"/>
          <w:szCs w:val="24"/>
        </w:rPr>
        <w:t xml:space="preserve"> 0,28% van het totaal aantal uren of gemiddeld 4 minuten per dag</w:t>
      </w:r>
    </w:p>
    <w:p w14:paraId="09058BA0" w14:textId="1200C37B" w:rsidR="00B85E1D" w:rsidRPr="00B85E1D" w:rsidRDefault="00B85E1D" w:rsidP="00B85E1D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Totaal commissies</w:t>
      </w:r>
    </w:p>
    <w:p w14:paraId="1F84EC65" w14:textId="082E8511" w:rsidR="00B85E1D" w:rsidRDefault="00EC3B59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325</w:t>
      </w:r>
      <w:r w:rsidR="00B85E1D">
        <w:rPr>
          <w:rFonts w:ascii="Times New Roman" w:hAnsi="Times New Roman" w:cs="Times New Roman"/>
          <w:sz w:val="24"/>
          <w:szCs w:val="24"/>
        </w:rPr>
        <w:t xml:space="preserve"> vergaderingen</w:t>
      </w:r>
      <w:r w:rsidR="00BE49C6">
        <w:rPr>
          <w:rFonts w:ascii="Times New Roman" w:hAnsi="Times New Roman" w:cs="Times New Roman"/>
          <w:sz w:val="24"/>
          <w:szCs w:val="24"/>
        </w:rPr>
        <w:t xml:space="preserve"> of gemiddeld 65 per jaar</w:t>
      </w:r>
    </w:p>
    <w:p w14:paraId="496D9769" w14:textId="1BA4FDF7" w:rsidR="00B85E1D" w:rsidRDefault="00EC3B59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</w:t>
      </w:r>
      <w:r w:rsidR="004E7139">
        <w:rPr>
          <w:rFonts w:ascii="Times New Roman" w:hAnsi="Times New Roman" w:cs="Times New Roman"/>
          <w:sz w:val="24"/>
          <w:szCs w:val="24"/>
        </w:rPr>
        <w:t>1</w:t>
      </w:r>
      <w:r w:rsidR="00B85E1D">
        <w:rPr>
          <w:rFonts w:ascii="Times New Roman" w:hAnsi="Times New Roman" w:cs="Times New Roman"/>
          <w:sz w:val="24"/>
          <w:szCs w:val="24"/>
        </w:rPr>
        <w:t xml:space="preserve"> u </w:t>
      </w:r>
      <w:r w:rsidR="004E713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="00B85E1D">
        <w:rPr>
          <w:rFonts w:ascii="Times New Roman" w:hAnsi="Times New Roman" w:cs="Times New Roman"/>
          <w:sz w:val="24"/>
          <w:szCs w:val="24"/>
        </w:rPr>
        <w:t xml:space="preserve"> min. vergaderd</w:t>
      </w:r>
      <w:r w:rsidR="00BE49C6">
        <w:rPr>
          <w:rFonts w:ascii="Times New Roman" w:hAnsi="Times New Roman" w:cs="Times New Roman"/>
          <w:sz w:val="24"/>
          <w:szCs w:val="24"/>
        </w:rPr>
        <w:t xml:space="preserve"> of gemiddeld 100 u. </w:t>
      </w:r>
      <w:r w:rsidR="004E7139">
        <w:rPr>
          <w:rFonts w:ascii="Times New Roman" w:hAnsi="Times New Roman" w:cs="Times New Roman"/>
          <w:sz w:val="24"/>
          <w:szCs w:val="24"/>
        </w:rPr>
        <w:t>14</w:t>
      </w:r>
      <w:r w:rsidR="00BE49C6">
        <w:rPr>
          <w:rFonts w:ascii="Times New Roman" w:hAnsi="Times New Roman" w:cs="Times New Roman"/>
          <w:sz w:val="24"/>
          <w:szCs w:val="24"/>
        </w:rPr>
        <w:t xml:space="preserve"> min. per jaar</w:t>
      </w:r>
    </w:p>
    <w:p w14:paraId="0C56843E" w14:textId="544ABD4F" w:rsidR="00B85E1D" w:rsidRDefault="004E7139" w:rsidP="00B85E1D">
      <w:pPr>
        <w:pStyle w:val="Lijstalinea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= gemiddeld </w:t>
      </w:r>
      <w:r w:rsidR="00B85E1D">
        <w:rPr>
          <w:rFonts w:ascii="Times New Roman" w:hAnsi="Times New Roman" w:cs="Times New Roman"/>
          <w:sz w:val="24"/>
          <w:szCs w:val="24"/>
        </w:rPr>
        <w:t xml:space="preserve">1 u </w:t>
      </w:r>
      <w:r w:rsidR="00EC3B59">
        <w:rPr>
          <w:rFonts w:ascii="Times New Roman" w:hAnsi="Times New Roman" w:cs="Times New Roman"/>
          <w:sz w:val="24"/>
          <w:szCs w:val="24"/>
        </w:rPr>
        <w:t>32</w:t>
      </w:r>
      <w:r w:rsidR="00B85E1D">
        <w:rPr>
          <w:rFonts w:ascii="Times New Roman" w:hAnsi="Times New Roman" w:cs="Times New Roman"/>
          <w:sz w:val="24"/>
          <w:szCs w:val="24"/>
        </w:rPr>
        <w:t xml:space="preserve"> min. per vergadering</w:t>
      </w:r>
    </w:p>
    <w:p w14:paraId="2A8BADE9" w14:textId="52A948FD" w:rsidR="00C75E0C" w:rsidRDefault="00C75E0C" w:rsidP="00C75E0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</w:p>
    <w:p w14:paraId="369E0C00" w14:textId="15C6B2B9" w:rsidR="00D12992" w:rsidRPr="00D20059" w:rsidRDefault="00D12992" w:rsidP="00BE49C6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nl-BE"/>
        </w:rPr>
      </w:pPr>
      <w:r>
        <w:rPr>
          <w:rFonts w:ascii="Times New Roman" w:hAnsi="Times New Roman" w:cs="Times New Roman"/>
          <w:sz w:val="24"/>
          <w:szCs w:val="24"/>
        </w:rPr>
        <w:t>In 5 jaar zijn er 260 weken -&gt; de Senaat</w:t>
      </w:r>
      <w:r w:rsidR="00D20059">
        <w:rPr>
          <w:rFonts w:ascii="Times New Roman" w:hAnsi="Times New Roman" w:cs="Times New Roman"/>
          <w:sz w:val="24"/>
          <w:szCs w:val="24"/>
        </w:rPr>
        <w:t xml:space="preserve"> heeft </w:t>
      </w:r>
      <w:r w:rsidR="00BE49C6">
        <w:rPr>
          <w:rFonts w:ascii="Times New Roman" w:hAnsi="Times New Roman" w:cs="Times New Roman"/>
          <w:sz w:val="24"/>
          <w:szCs w:val="24"/>
        </w:rPr>
        <w:t xml:space="preserve">in commissie </w:t>
      </w:r>
      <w:r w:rsidR="00D20059">
        <w:rPr>
          <w:rFonts w:ascii="Times New Roman" w:hAnsi="Times New Roman" w:cs="Times New Roman"/>
          <w:sz w:val="24"/>
          <w:szCs w:val="24"/>
        </w:rPr>
        <w:t xml:space="preserve">gemiddeld per </w:t>
      </w:r>
      <w:r w:rsidR="00BE49C6">
        <w:rPr>
          <w:rFonts w:ascii="Times New Roman" w:hAnsi="Times New Roman" w:cs="Times New Roman"/>
          <w:sz w:val="24"/>
          <w:szCs w:val="24"/>
        </w:rPr>
        <w:t xml:space="preserve">maand </w:t>
      </w:r>
      <w:r w:rsidR="00151D51">
        <w:rPr>
          <w:rFonts w:ascii="Times New Roman" w:hAnsi="Times New Roman" w:cs="Times New Roman"/>
          <w:sz w:val="24"/>
          <w:szCs w:val="24"/>
        </w:rPr>
        <w:t xml:space="preserve">5,4 keer vergaderd, hetzij </w:t>
      </w:r>
      <w:r w:rsidR="00D20059">
        <w:rPr>
          <w:rFonts w:ascii="Times New Roman" w:hAnsi="Times New Roman" w:cs="Times New Roman"/>
          <w:sz w:val="24"/>
          <w:szCs w:val="24"/>
        </w:rPr>
        <w:t>1,</w:t>
      </w:r>
      <w:r w:rsidR="00151D51">
        <w:rPr>
          <w:rFonts w:ascii="Times New Roman" w:hAnsi="Times New Roman" w:cs="Times New Roman"/>
          <w:sz w:val="24"/>
          <w:szCs w:val="24"/>
        </w:rPr>
        <w:t>35</w:t>
      </w:r>
      <w:r w:rsidR="00D20059">
        <w:rPr>
          <w:rFonts w:ascii="Times New Roman" w:hAnsi="Times New Roman" w:cs="Times New Roman"/>
          <w:sz w:val="24"/>
          <w:szCs w:val="24"/>
        </w:rPr>
        <w:t xml:space="preserve"> keer </w:t>
      </w:r>
      <w:r w:rsidR="00151D51">
        <w:rPr>
          <w:rFonts w:ascii="Times New Roman" w:hAnsi="Times New Roman" w:cs="Times New Roman"/>
          <w:sz w:val="24"/>
          <w:szCs w:val="24"/>
        </w:rPr>
        <w:t>per week</w:t>
      </w:r>
      <w:r w:rsidR="00D20059">
        <w:rPr>
          <w:rFonts w:ascii="Times New Roman" w:hAnsi="Times New Roman" w:cs="Times New Roman"/>
          <w:sz w:val="24"/>
          <w:szCs w:val="24"/>
        </w:rPr>
        <w:t>.</w:t>
      </w:r>
    </w:p>
    <w:p w14:paraId="42447349" w14:textId="66414F6A" w:rsidR="00D20059" w:rsidRDefault="00D20059" w:rsidP="00BE49C6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5 jaar zijn er 1.826 dagen. De Senaat heeft </w:t>
      </w:r>
      <w:r w:rsidR="00151D51">
        <w:rPr>
          <w:rFonts w:ascii="Times New Roman" w:hAnsi="Times New Roman" w:cs="Times New Roman"/>
          <w:sz w:val="24"/>
          <w:szCs w:val="24"/>
        </w:rPr>
        <w:t>in die dagen</w:t>
      </w:r>
      <w:r>
        <w:rPr>
          <w:rFonts w:ascii="Times New Roman" w:hAnsi="Times New Roman" w:cs="Times New Roman"/>
          <w:sz w:val="24"/>
          <w:szCs w:val="24"/>
        </w:rPr>
        <w:t xml:space="preserve"> 325 </w:t>
      </w:r>
      <w:r w:rsidR="00151D51">
        <w:rPr>
          <w:rFonts w:ascii="Times New Roman" w:hAnsi="Times New Roman" w:cs="Times New Roman"/>
          <w:sz w:val="24"/>
          <w:szCs w:val="24"/>
        </w:rPr>
        <w:t xml:space="preserve">keer </w:t>
      </w:r>
      <w:r>
        <w:rPr>
          <w:rFonts w:ascii="Times New Roman" w:hAnsi="Times New Roman" w:cs="Times New Roman"/>
          <w:sz w:val="24"/>
          <w:szCs w:val="24"/>
        </w:rPr>
        <w:t>in commissie vergaderd, dat is 17,8% van het aantal dagen.</w:t>
      </w:r>
    </w:p>
    <w:p w14:paraId="57077C4D" w14:textId="42006E43" w:rsidR="00D20059" w:rsidRDefault="00D20059" w:rsidP="00BE49C6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5 jaar zijn er 43.824 uren. De Senaat heeft daar</w:t>
      </w:r>
      <w:r w:rsidR="0056237A">
        <w:rPr>
          <w:rFonts w:ascii="Times New Roman" w:hAnsi="Times New Roman" w:cs="Times New Roman"/>
          <w:sz w:val="24"/>
          <w:szCs w:val="24"/>
        </w:rPr>
        <w:t>va</w:t>
      </w:r>
      <w:r>
        <w:rPr>
          <w:rFonts w:ascii="Times New Roman" w:hAnsi="Times New Roman" w:cs="Times New Roman"/>
          <w:sz w:val="24"/>
          <w:szCs w:val="24"/>
        </w:rPr>
        <w:t xml:space="preserve">n </w:t>
      </w:r>
      <w:r w:rsidR="0056237A">
        <w:rPr>
          <w:rFonts w:ascii="Times New Roman" w:hAnsi="Times New Roman" w:cs="Times New Roman"/>
          <w:sz w:val="24"/>
          <w:szCs w:val="24"/>
        </w:rPr>
        <w:t>in commissie 501</w:t>
      </w:r>
      <w:r>
        <w:rPr>
          <w:rFonts w:ascii="Times New Roman" w:hAnsi="Times New Roman" w:cs="Times New Roman"/>
          <w:sz w:val="24"/>
          <w:szCs w:val="24"/>
        </w:rPr>
        <w:t xml:space="preserve"> uren vergaderd. Dat is </w:t>
      </w:r>
      <w:r w:rsidR="0056237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,</w:t>
      </w:r>
      <w:r w:rsidR="0056237A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% van het aantal uren</w:t>
      </w:r>
      <w:r w:rsidR="00E16DE0">
        <w:rPr>
          <w:rFonts w:ascii="Times New Roman" w:hAnsi="Times New Roman" w:cs="Times New Roman"/>
          <w:sz w:val="24"/>
          <w:szCs w:val="24"/>
        </w:rPr>
        <w:t xml:space="preserve">, hetzij gemiddeld 8,3 uren van een maand of ca. 1 werkdag </w:t>
      </w:r>
      <w:r w:rsidR="00930433">
        <w:rPr>
          <w:rFonts w:ascii="Times New Roman" w:hAnsi="Times New Roman" w:cs="Times New Roman"/>
          <w:sz w:val="24"/>
          <w:szCs w:val="24"/>
        </w:rPr>
        <w:t>van een</w:t>
      </w:r>
      <w:r w:rsidR="00E16DE0">
        <w:rPr>
          <w:rFonts w:ascii="Times New Roman" w:hAnsi="Times New Roman" w:cs="Times New Roman"/>
          <w:sz w:val="24"/>
          <w:szCs w:val="24"/>
        </w:rPr>
        <w:t xml:space="preserve"> maand, of</w:t>
      </w:r>
      <w:r w:rsidR="0056237A">
        <w:rPr>
          <w:rFonts w:ascii="Times New Roman" w:hAnsi="Times New Roman" w:cs="Times New Roman"/>
          <w:sz w:val="24"/>
          <w:szCs w:val="24"/>
        </w:rPr>
        <w:t xml:space="preserve"> 16,4 minuten van een dag. </w:t>
      </w:r>
    </w:p>
    <w:p w14:paraId="3317F2BC" w14:textId="77777777" w:rsidR="00D20059" w:rsidRDefault="00D20059" w:rsidP="001E3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</w:p>
    <w:p w14:paraId="0A65B360" w14:textId="77777777" w:rsidR="00646E9B" w:rsidRDefault="00646E9B" w:rsidP="00646E9B">
      <w:pPr>
        <w:pStyle w:val="Lijstalinea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WETGEVEND WERK DAT BEKRACHTIGD WERD EN WET IS GEWORDEN</w:t>
      </w:r>
    </w:p>
    <w:p w14:paraId="7A9F27D6" w14:textId="77777777" w:rsidR="00646E9B" w:rsidRDefault="00646E9B" w:rsidP="00646E9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6C84543" w14:textId="45E0C884" w:rsidR="00646E9B" w:rsidRDefault="003140C0" w:rsidP="00646E9B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646E9B" w:rsidRPr="00826100">
        <w:rPr>
          <w:rFonts w:ascii="Times New Roman" w:hAnsi="Times New Roman" w:cs="Times New Roman"/>
          <w:bCs/>
          <w:sz w:val="24"/>
          <w:szCs w:val="24"/>
        </w:rPr>
        <w:t xml:space="preserve"> wijziging van </w:t>
      </w:r>
      <w:r w:rsidR="00646E9B">
        <w:rPr>
          <w:rFonts w:ascii="Times New Roman" w:hAnsi="Times New Roman" w:cs="Times New Roman"/>
          <w:bCs/>
          <w:sz w:val="24"/>
          <w:szCs w:val="24"/>
        </w:rPr>
        <w:t>de Grondwet</w:t>
      </w:r>
    </w:p>
    <w:p w14:paraId="0C15F362" w14:textId="52DD6F19" w:rsidR="00646E9B" w:rsidRDefault="003140C0" w:rsidP="00646E9B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5</w:t>
      </w:r>
      <w:r w:rsidR="00646E9B">
        <w:rPr>
          <w:rFonts w:ascii="Times New Roman" w:hAnsi="Times New Roman" w:cs="Times New Roman"/>
          <w:bCs/>
          <w:sz w:val="24"/>
          <w:szCs w:val="24"/>
        </w:rPr>
        <w:t xml:space="preserve"> wijzigingen van bijzondere wetten</w:t>
      </w:r>
    </w:p>
    <w:p w14:paraId="4126BA7D" w14:textId="665C261B" w:rsidR="00646E9B" w:rsidRDefault="00646E9B" w:rsidP="00646E9B">
      <w:pPr>
        <w:pStyle w:val="Lijstaline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3140C0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 xml:space="preserve"> wijziging</w:t>
      </w:r>
      <w:r w:rsidR="003140C0">
        <w:rPr>
          <w:rFonts w:ascii="Times New Roman" w:hAnsi="Times New Roman" w:cs="Times New Roman"/>
          <w:bCs/>
          <w:sz w:val="24"/>
          <w:szCs w:val="24"/>
        </w:rPr>
        <w:t>en</w:t>
      </w:r>
      <w:r>
        <w:rPr>
          <w:rFonts w:ascii="Times New Roman" w:hAnsi="Times New Roman" w:cs="Times New Roman"/>
          <w:bCs/>
          <w:sz w:val="24"/>
          <w:szCs w:val="24"/>
        </w:rPr>
        <w:t xml:space="preserve"> van een wet</w:t>
      </w:r>
    </w:p>
    <w:p w14:paraId="05CD169E" w14:textId="02494215" w:rsidR="00646E9B" w:rsidRPr="00826100" w:rsidRDefault="00646E9B" w:rsidP="00646E9B">
      <w:pPr>
        <w:spacing w:after="0" w:line="240" w:lineRule="auto"/>
        <w:ind w:firstLine="36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Totaal: </w:t>
      </w:r>
      <w:r w:rsidR="003140C0">
        <w:rPr>
          <w:rFonts w:ascii="Times New Roman" w:hAnsi="Times New Roman" w:cs="Times New Roman"/>
          <w:bCs/>
          <w:sz w:val="24"/>
          <w:szCs w:val="24"/>
        </w:rPr>
        <w:t>16</w:t>
      </w:r>
      <w:r>
        <w:rPr>
          <w:rFonts w:ascii="Times New Roman" w:hAnsi="Times New Roman" w:cs="Times New Roman"/>
          <w:bCs/>
          <w:sz w:val="24"/>
          <w:szCs w:val="24"/>
        </w:rPr>
        <w:t xml:space="preserve"> wetswijzigingen</w:t>
      </w:r>
    </w:p>
    <w:p w14:paraId="27E970A2" w14:textId="77777777" w:rsidR="00646E9B" w:rsidRDefault="00646E9B" w:rsidP="00646E9B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4192CA66" w14:textId="721BD171" w:rsidR="00646E9B" w:rsidRPr="00FF70EA" w:rsidRDefault="00646E9B" w:rsidP="00646E9B">
      <w:pPr>
        <w:pStyle w:val="Lijstaline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70EA">
        <w:rPr>
          <w:rFonts w:ascii="Times New Roman" w:hAnsi="Times New Roman" w:cs="Times New Roman"/>
          <w:bCs/>
          <w:sz w:val="24"/>
          <w:szCs w:val="24"/>
        </w:rPr>
        <w:t>1 wetswijziging</w:t>
      </w:r>
      <w:r>
        <w:rPr>
          <w:rFonts w:ascii="Times New Roman" w:hAnsi="Times New Roman" w:cs="Times New Roman"/>
          <w:bCs/>
          <w:sz w:val="24"/>
          <w:szCs w:val="24"/>
        </w:rPr>
        <w:t xml:space="preserve"> in de Senaat kost gemiddeld </w:t>
      </w:r>
      <w:r w:rsidR="003140C0">
        <w:rPr>
          <w:rFonts w:ascii="Times New Roman" w:hAnsi="Times New Roman" w:cs="Times New Roman"/>
          <w:bCs/>
          <w:sz w:val="24"/>
          <w:szCs w:val="24"/>
        </w:rPr>
        <w:t>13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="003140C0">
        <w:rPr>
          <w:rFonts w:ascii="Times New Roman" w:hAnsi="Times New Roman" w:cs="Times New Roman"/>
          <w:bCs/>
          <w:sz w:val="24"/>
          <w:szCs w:val="24"/>
        </w:rPr>
        <w:t>15</w:t>
      </w:r>
      <w:r>
        <w:rPr>
          <w:rFonts w:ascii="Times New Roman" w:hAnsi="Times New Roman" w:cs="Times New Roman"/>
          <w:bCs/>
          <w:sz w:val="24"/>
          <w:szCs w:val="24"/>
        </w:rPr>
        <w:t xml:space="preserve"> miljoen euro. Die werden (of moeten) bovendien allemaal (nog) door de Kamer (worden) goedgekeurd.</w:t>
      </w:r>
    </w:p>
    <w:p w14:paraId="4025EF9A" w14:textId="77777777" w:rsidR="00646E9B" w:rsidRPr="001E3998" w:rsidRDefault="00646E9B" w:rsidP="001E3998">
      <w:pPr>
        <w:spacing w:after="0" w:line="240" w:lineRule="auto"/>
        <w:rPr>
          <w:rFonts w:ascii="Times New Roman" w:hAnsi="Times New Roman" w:cs="Times New Roman"/>
          <w:sz w:val="24"/>
          <w:szCs w:val="24"/>
          <w:lang w:val="nl-BE"/>
        </w:rPr>
      </w:pPr>
    </w:p>
    <w:sectPr w:rsidR="00646E9B" w:rsidRPr="001E39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94E845" w14:textId="77777777" w:rsidR="00D1752B" w:rsidRDefault="00D1752B" w:rsidP="00DA1440">
      <w:pPr>
        <w:spacing w:after="0" w:line="240" w:lineRule="auto"/>
      </w:pPr>
      <w:r>
        <w:separator/>
      </w:r>
    </w:p>
  </w:endnote>
  <w:endnote w:type="continuationSeparator" w:id="0">
    <w:p w14:paraId="0ECC5D8C" w14:textId="77777777" w:rsidR="00D1752B" w:rsidRDefault="00D1752B" w:rsidP="00DA1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DE76D" w14:textId="77777777" w:rsidR="00D1752B" w:rsidRDefault="00D1752B" w:rsidP="00DA1440">
      <w:pPr>
        <w:spacing w:after="0" w:line="240" w:lineRule="auto"/>
      </w:pPr>
      <w:r>
        <w:separator/>
      </w:r>
    </w:p>
  </w:footnote>
  <w:footnote w:type="continuationSeparator" w:id="0">
    <w:p w14:paraId="4C999B5C" w14:textId="77777777" w:rsidR="00D1752B" w:rsidRDefault="00D1752B" w:rsidP="00DA1440">
      <w:pPr>
        <w:spacing w:after="0" w:line="240" w:lineRule="auto"/>
      </w:pPr>
      <w:r>
        <w:continuationSeparator/>
      </w:r>
    </w:p>
  </w:footnote>
  <w:footnote w:id="1">
    <w:p w14:paraId="368FDCF8" w14:textId="7482038A" w:rsidR="00DA1440" w:rsidRPr="00DA1440" w:rsidRDefault="00DA1440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r>
        <w:rPr>
          <w:lang w:val="nl-BE"/>
        </w:rPr>
        <w:t>Begrotingsjaren (kalenderjaar) vallen niet samen met zittingsjaren. We gebruiken daarom de begrotingscijfers (rekeningen) voor de jaren 2019-2023 en laten hier begrotingsjaar 2024 buiten beschouwing.</w:t>
      </w:r>
      <w:r w:rsidR="00646E9B">
        <w:rPr>
          <w:lang w:val="nl-BE"/>
        </w:rPr>
        <w:t xml:space="preserve"> Een aantal berekeningen over kostprijzen zijn derhalve benaderende bedragen.</w:t>
      </w:r>
    </w:p>
  </w:footnote>
  <w:footnote w:id="2">
    <w:p w14:paraId="32B78063" w14:textId="52644C78" w:rsidR="00826100" w:rsidRPr="00826100" w:rsidRDefault="00826100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</w:t>
      </w:r>
      <w:hyperlink r:id="rId1" w:history="1">
        <w:r w:rsidRPr="008C4B7F">
          <w:rPr>
            <w:rStyle w:val="Hyperlink"/>
            <w:lang w:val="nl-BE"/>
          </w:rPr>
          <w:t>www.senate.be</w:t>
        </w:r>
      </w:hyperlink>
      <w:r>
        <w:rPr>
          <w:lang w:val="nl-BE"/>
        </w:rPr>
        <w:t xml:space="preserve"> &gt; over de senaat &gt; statistieken.</w:t>
      </w:r>
    </w:p>
  </w:footnote>
  <w:footnote w:id="3">
    <w:p w14:paraId="41E9FC63" w14:textId="0EC41DEF" w:rsidR="004A6A02" w:rsidRPr="004A6A02" w:rsidRDefault="004A6A02">
      <w:pPr>
        <w:pStyle w:val="Voetnoottekst"/>
        <w:rPr>
          <w:lang w:val="nl-BE"/>
        </w:rPr>
      </w:pPr>
      <w:r>
        <w:rPr>
          <w:rStyle w:val="Voetnootmarkering"/>
        </w:rPr>
        <w:footnoteRef/>
      </w:r>
      <w:r>
        <w:t xml:space="preserve"> De gemengde commissies Kamer/Senaat worden hier buiten beschouwing gelaten omdat zij niet strikt tot de werkzaamheden van de Senaat behoren. Hun aandeel in het werkvolume </w:t>
      </w:r>
      <w:r w:rsidR="00646E9B">
        <w:t xml:space="preserve">en de vertegenwoordiging vanuit de Senaat </w:t>
      </w:r>
      <w:r>
        <w:t>is overigens beperkt.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85981"/>
    <w:multiLevelType w:val="multilevel"/>
    <w:tmpl w:val="C6568DC8"/>
    <w:lvl w:ilvl="0">
      <w:start w:val="6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85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" w15:restartNumberingAfterBreak="0">
    <w:nsid w:val="0DFC1FC4"/>
    <w:multiLevelType w:val="hybridMultilevel"/>
    <w:tmpl w:val="137860B6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30015A"/>
    <w:multiLevelType w:val="multilevel"/>
    <w:tmpl w:val="1A0CA9B6"/>
    <w:lvl w:ilvl="0">
      <w:start w:val="6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85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 w15:restartNumberingAfterBreak="0">
    <w:nsid w:val="23D84C28"/>
    <w:multiLevelType w:val="hybridMultilevel"/>
    <w:tmpl w:val="D4149642"/>
    <w:lvl w:ilvl="0" w:tplc="6FFC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0F7EC5"/>
    <w:multiLevelType w:val="multilevel"/>
    <w:tmpl w:val="4162A77C"/>
    <w:lvl w:ilvl="0">
      <w:start w:val="6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85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52707B8"/>
    <w:multiLevelType w:val="multilevel"/>
    <w:tmpl w:val="BF689068"/>
    <w:lvl w:ilvl="0">
      <w:start w:val="6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885"/>
      <w:numFmt w:val="decimal"/>
      <w:lvlText w:val="%1.%2"/>
      <w:lvlJc w:val="left"/>
      <w:pPr>
        <w:ind w:left="174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2E0C4B29"/>
    <w:multiLevelType w:val="hybridMultilevel"/>
    <w:tmpl w:val="5D60CA34"/>
    <w:lvl w:ilvl="0" w:tplc="6FFC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8932171"/>
    <w:multiLevelType w:val="hybridMultilevel"/>
    <w:tmpl w:val="24728248"/>
    <w:lvl w:ilvl="0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023660"/>
    <w:multiLevelType w:val="hybridMultilevel"/>
    <w:tmpl w:val="69D233BC"/>
    <w:lvl w:ilvl="0" w:tplc="80027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AD641A"/>
    <w:multiLevelType w:val="hybridMultilevel"/>
    <w:tmpl w:val="F4BA359A"/>
    <w:lvl w:ilvl="0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4357EC2"/>
    <w:multiLevelType w:val="hybridMultilevel"/>
    <w:tmpl w:val="4EF2EFF2"/>
    <w:lvl w:ilvl="0" w:tplc="800271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97350B"/>
    <w:multiLevelType w:val="hybridMultilevel"/>
    <w:tmpl w:val="1ECE39CA"/>
    <w:lvl w:ilvl="0" w:tplc="7D56D8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5C2C0B"/>
    <w:multiLevelType w:val="hybridMultilevel"/>
    <w:tmpl w:val="5D60CA34"/>
    <w:lvl w:ilvl="0" w:tplc="6FFCBA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36823461">
    <w:abstractNumId w:val="8"/>
  </w:num>
  <w:num w:numId="2" w16cid:durableId="555243866">
    <w:abstractNumId w:val="12"/>
  </w:num>
  <w:num w:numId="3" w16cid:durableId="2091533871">
    <w:abstractNumId w:val="6"/>
  </w:num>
  <w:num w:numId="4" w16cid:durableId="411509433">
    <w:abstractNumId w:val="3"/>
  </w:num>
  <w:num w:numId="5" w16cid:durableId="1585068038">
    <w:abstractNumId w:val="0"/>
  </w:num>
  <w:num w:numId="6" w16cid:durableId="1766264218">
    <w:abstractNumId w:val="2"/>
  </w:num>
  <w:num w:numId="7" w16cid:durableId="86116738">
    <w:abstractNumId w:val="5"/>
  </w:num>
  <w:num w:numId="8" w16cid:durableId="1880237673">
    <w:abstractNumId w:val="4"/>
  </w:num>
  <w:num w:numId="9" w16cid:durableId="1073046891">
    <w:abstractNumId w:val="1"/>
  </w:num>
  <w:num w:numId="10" w16cid:durableId="824593955">
    <w:abstractNumId w:val="9"/>
  </w:num>
  <w:num w:numId="11" w16cid:durableId="1301233152">
    <w:abstractNumId w:val="7"/>
  </w:num>
  <w:num w:numId="12" w16cid:durableId="2113012653">
    <w:abstractNumId w:val="11"/>
  </w:num>
  <w:num w:numId="13" w16cid:durableId="8050072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D05"/>
    <w:rsid w:val="0002678C"/>
    <w:rsid w:val="00083275"/>
    <w:rsid w:val="000B7A5C"/>
    <w:rsid w:val="000C24E9"/>
    <w:rsid w:val="000D0D71"/>
    <w:rsid w:val="000D342B"/>
    <w:rsid w:val="000F575D"/>
    <w:rsid w:val="00151D51"/>
    <w:rsid w:val="001670A7"/>
    <w:rsid w:val="00195377"/>
    <w:rsid w:val="0019675B"/>
    <w:rsid w:val="00196EAF"/>
    <w:rsid w:val="001B2DEE"/>
    <w:rsid w:val="001D6331"/>
    <w:rsid w:val="001E32DF"/>
    <w:rsid w:val="001E3859"/>
    <w:rsid w:val="001E3998"/>
    <w:rsid w:val="002222C0"/>
    <w:rsid w:val="0024318E"/>
    <w:rsid w:val="00252D52"/>
    <w:rsid w:val="00266538"/>
    <w:rsid w:val="00275E28"/>
    <w:rsid w:val="0029764A"/>
    <w:rsid w:val="002B744F"/>
    <w:rsid w:val="003140C0"/>
    <w:rsid w:val="003259AF"/>
    <w:rsid w:val="003419CE"/>
    <w:rsid w:val="003734CF"/>
    <w:rsid w:val="00390C0F"/>
    <w:rsid w:val="003B2904"/>
    <w:rsid w:val="003C5C06"/>
    <w:rsid w:val="003C736A"/>
    <w:rsid w:val="003D209B"/>
    <w:rsid w:val="003F585A"/>
    <w:rsid w:val="003F6158"/>
    <w:rsid w:val="00454D15"/>
    <w:rsid w:val="00483E3F"/>
    <w:rsid w:val="0049399C"/>
    <w:rsid w:val="004A59BB"/>
    <w:rsid w:val="004A6A02"/>
    <w:rsid w:val="004C6DFD"/>
    <w:rsid w:val="004E7139"/>
    <w:rsid w:val="00504680"/>
    <w:rsid w:val="00552114"/>
    <w:rsid w:val="005605F4"/>
    <w:rsid w:val="0056237A"/>
    <w:rsid w:val="0056624B"/>
    <w:rsid w:val="00590E7F"/>
    <w:rsid w:val="005B5E0F"/>
    <w:rsid w:val="00601139"/>
    <w:rsid w:val="00646845"/>
    <w:rsid w:val="00646E9B"/>
    <w:rsid w:val="00663175"/>
    <w:rsid w:val="006641AC"/>
    <w:rsid w:val="00667FF3"/>
    <w:rsid w:val="00676165"/>
    <w:rsid w:val="00690403"/>
    <w:rsid w:val="006B181D"/>
    <w:rsid w:val="006C2061"/>
    <w:rsid w:val="006E0EC5"/>
    <w:rsid w:val="00732621"/>
    <w:rsid w:val="00747FE8"/>
    <w:rsid w:val="00757804"/>
    <w:rsid w:val="00777D05"/>
    <w:rsid w:val="007B39A1"/>
    <w:rsid w:val="007B5725"/>
    <w:rsid w:val="007F28F5"/>
    <w:rsid w:val="00826100"/>
    <w:rsid w:val="00851265"/>
    <w:rsid w:val="0088324A"/>
    <w:rsid w:val="008A0F8E"/>
    <w:rsid w:val="008A23F0"/>
    <w:rsid w:val="008A2F09"/>
    <w:rsid w:val="008A4C92"/>
    <w:rsid w:val="008D2FA6"/>
    <w:rsid w:val="008D69C6"/>
    <w:rsid w:val="00900B79"/>
    <w:rsid w:val="0091423C"/>
    <w:rsid w:val="00930433"/>
    <w:rsid w:val="00954688"/>
    <w:rsid w:val="009A0B9A"/>
    <w:rsid w:val="009A2965"/>
    <w:rsid w:val="009B30CE"/>
    <w:rsid w:val="009E0DA5"/>
    <w:rsid w:val="009F0775"/>
    <w:rsid w:val="009F6ED8"/>
    <w:rsid w:val="00A02743"/>
    <w:rsid w:val="00A25577"/>
    <w:rsid w:val="00A3209A"/>
    <w:rsid w:val="00A46562"/>
    <w:rsid w:val="00A503B4"/>
    <w:rsid w:val="00A53144"/>
    <w:rsid w:val="00AA30D4"/>
    <w:rsid w:val="00AB032E"/>
    <w:rsid w:val="00AE1C5B"/>
    <w:rsid w:val="00AF5F76"/>
    <w:rsid w:val="00B02DC9"/>
    <w:rsid w:val="00B0564C"/>
    <w:rsid w:val="00B12E9C"/>
    <w:rsid w:val="00B50EFD"/>
    <w:rsid w:val="00B51352"/>
    <w:rsid w:val="00B75B97"/>
    <w:rsid w:val="00B83781"/>
    <w:rsid w:val="00B85E1D"/>
    <w:rsid w:val="00B91872"/>
    <w:rsid w:val="00BA55C8"/>
    <w:rsid w:val="00BB3067"/>
    <w:rsid w:val="00BE49C6"/>
    <w:rsid w:val="00C03BC4"/>
    <w:rsid w:val="00C12301"/>
    <w:rsid w:val="00C31719"/>
    <w:rsid w:val="00C35D42"/>
    <w:rsid w:val="00C455B3"/>
    <w:rsid w:val="00C5627B"/>
    <w:rsid w:val="00C57F25"/>
    <w:rsid w:val="00C75E0C"/>
    <w:rsid w:val="00C9438D"/>
    <w:rsid w:val="00CA0028"/>
    <w:rsid w:val="00CA63AB"/>
    <w:rsid w:val="00CB218D"/>
    <w:rsid w:val="00CE60B2"/>
    <w:rsid w:val="00CF6BF7"/>
    <w:rsid w:val="00D12992"/>
    <w:rsid w:val="00D1752B"/>
    <w:rsid w:val="00D20059"/>
    <w:rsid w:val="00D33D4F"/>
    <w:rsid w:val="00D76DB9"/>
    <w:rsid w:val="00DA1440"/>
    <w:rsid w:val="00DB6699"/>
    <w:rsid w:val="00DF07D6"/>
    <w:rsid w:val="00DF43B6"/>
    <w:rsid w:val="00E16DE0"/>
    <w:rsid w:val="00E3213A"/>
    <w:rsid w:val="00E56825"/>
    <w:rsid w:val="00E613C0"/>
    <w:rsid w:val="00E67CFD"/>
    <w:rsid w:val="00E705DC"/>
    <w:rsid w:val="00E86BE8"/>
    <w:rsid w:val="00E9678D"/>
    <w:rsid w:val="00EC3632"/>
    <w:rsid w:val="00EC3B59"/>
    <w:rsid w:val="00EC6CCC"/>
    <w:rsid w:val="00EE5C0B"/>
    <w:rsid w:val="00EF5CF0"/>
    <w:rsid w:val="00F45C1A"/>
    <w:rsid w:val="00F52080"/>
    <w:rsid w:val="00F64CDD"/>
    <w:rsid w:val="00FE287F"/>
    <w:rsid w:val="00FE4419"/>
    <w:rsid w:val="00FE4A15"/>
    <w:rsid w:val="00FF08E4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5D8E2"/>
  <w15:docId w15:val="{E37C8058-AE90-4E5B-9FE7-0AAFD6645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670A7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77D05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0113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01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01139"/>
    <w:rPr>
      <w:rFonts w:ascii="Tahoma" w:hAnsi="Tahoma" w:cs="Tahoma"/>
      <w:sz w:val="16"/>
      <w:szCs w:val="16"/>
      <w:lang w:val="nl-NL"/>
    </w:rPr>
  </w:style>
  <w:style w:type="character" w:styleId="Hyperlink">
    <w:name w:val="Hyperlink"/>
    <w:basedOn w:val="Standaardalinea-lettertype"/>
    <w:uiPriority w:val="99"/>
    <w:unhideWhenUsed/>
    <w:rsid w:val="00BB306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B3067"/>
    <w:rPr>
      <w:color w:val="605E5C"/>
      <w:shd w:val="clear" w:color="auto" w:fill="E1DFDD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DA1440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DA1440"/>
    <w:rPr>
      <w:sz w:val="20"/>
      <w:szCs w:val="20"/>
      <w:lang w:val="nl-NL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DA14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8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91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27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360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706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4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623021">
              <w:marLeft w:val="0"/>
              <w:marRight w:val="0"/>
              <w:marTop w:val="84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8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809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3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3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81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70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762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16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72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enate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2B8A37-328D-4DF7-B15F-2F9E17ACF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2</Pages>
  <Words>420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Ilse Van Echelpoel</dc:creator>
  <cp:lastModifiedBy>Peter Lemmens</cp:lastModifiedBy>
  <cp:revision>29</cp:revision>
  <cp:lastPrinted>2017-11-27T13:35:00Z</cp:lastPrinted>
  <dcterms:created xsi:type="dcterms:W3CDTF">2024-04-24T11:38:00Z</dcterms:created>
  <dcterms:modified xsi:type="dcterms:W3CDTF">2024-05-02T12:46:00Z</dcterms:modified>
</cp:coreProperties>
</file>